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975" w:rsidRDefault="000D1975">
      <w:pPr>
        <w:pStyle w:val="Standard"/>
        <w:ind w:right="282"/>
        <w:jc w:val="both"/>
        <w:rPr>
          <w:rFonts w:ascii="Calibri Light" w:eastAsia="Verdana" w:hAnsi="Calibri Light" w:cs="Calibri Light"/>
          <w:color w:val="000000"/>
        </w:rPr>
      </w:pPr>
    </w:p>
    <w:p w:rsidR="000D1975" w:rsidRDefault="00A104D8">
      <w:pPr>
        <w:pStyle w:val="Standard"/>
        <w:ind w:right="282"/>
        <w:jc w:val="both"/>
        <w:rPr>
          <w:rFonts w:ascii="Calibri Light" w:eastAsia="Verdana" w:hAnsi="Calibri Light" w:cs="Calibri Light"/>
          <w:b/>
          <w:color w:val="000000"/>
        </w:rPr>
      </w:pPr>
      <w:r>
        <w:rPr>
          <w:rFonts w:ascii="Calibri Light" w:eastAsia="Verdana" w:hAnsi="Calibri Light" w:cs="Calibri Light"/>
          <w:b/>
          <w:color w:val="000000"/>
        </w:rPr>
        <w:t xml:space="preserve">OPIS PRZEDMIOTU ZAMÓWIENIA    </w:t>
      </w:r>
    </w:p>
    <w:p w:rsidR="000D1975" w:rsidRDefault="000D1975">
      <w:pPr>
        <w:pStyle w:val="Standard"/>
        <w:ind w:right="282"/>
        <w:jc w:val="both"/>
        <w:rPr>
          <w:rFonts w:ascii="Calibri Light" w:eastAsia="Calibri" w:hAnsi="Calibri Light" w:cs="Calibri Light"/>
        </w:rPr>
      </w:pPr>
    </w:p>
    <w:p w:rsidR="000D1975" w:rsidRDefault="00A104D8">
      <w:pPr>
        <w:pStyle w:val="Standard"/>
        <w:ind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Przedmiotem zamówienia jest Świadczenie usług Telekomunikacyjnych: usługa 2 łączy</w:t>
      </w:r>
    </w:p>
    <w:p w:rsidR="000D1975" w:rsidRDefault="00A104D8">
      <w:pPr>
        <w:pStyle w:val="Standard"/>
        <w:ind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ISDN 30B+D I 603 NR DDI włączonych do posiadanej centrali telefonicznej.  </w:t>
      </w:r>
    </w:p>
    <w:p w:rsidR="000D1975" w:rsidRDefault="000D1975">
      <w:pPr>
        <w:pStyle w:val="Standard"/>
        <w:ind w:right="282"/>
        <w:jc w:val="both"/>
        <w:rPr>
          <w:rFonts w:ascii="Calibri Light" w:eastAsia="Verdana" w:hAnsi="Calibri Light" w:cs="Calibri Light"/>
          <w:color w:val="000000"/>
        </w:rPr>
      </w:pPr>
    </w:p>
    <w:p w:rsidR="000D1975" w:rsidRDefault="00A104D8">
      <w:pPr>
        <w:pStyle w:val="Standard"/>
        <w:ind w:left="-360" w:right="282" w:firstLine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I. Przedmiotem zamówienia jest:</w:t>
      </w:r>
    </w:p>
    <w:p w:rsidR="000D1975" w:rsidRDefault="000D1975">
      <w:pPr>
        <w:pStyle w:val="Standard"/>
        <w:ind w:right="282"/>
        <w:jc w:val="both"/>
        <w:rPr>
          <w:rFonts w:ascii="Calibri Light" w:eastAsia="Calibri" w:hAnsi="Calibri Light" w:cs="Calibri Light"/>
        </w:rPr>
      </w:pPr>
    </w:p>
    <w:p w:rsidR="000D1975" w:rsidRDefault="00A104D8">
      <w:pPr>
        <w:pStyle w:val="Standard"/>
        <w:numPr>
          <w:ilvl w:val="0"/>
          <w:numId w:val="5"/>
        </w:numPr>
        <w:ind w:right="282" w:hanging="363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Instalacja 2 dostępów ISDN 30B+D I 603 nr DDI z zachowaniem dotychczasowej numeracji DDI 12 257-82-00 do 12 257-87-99, oraz numerów 12 633-01-00, </w:t>
      </w:r>
    </w:p>
    <w:p w:rsidR="000D1975" w:rsidRDefault="00A104D8">
      <w:pPr>
        <w:pStyle w:val="Standard"/>
        <w:ind w:left="930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12 633-19-95, 12 633-31-05 podłączonych do centrali  oraz świadczenie usług telefonicznych w zakresie połączeń telefonicznych i faksowych, lokalnych i strefowych, międzystrefowych, międzynarodowych do służb informacyjnych i do sieci komórkowych w naliczaniu sekundowym generowanych na tych dostępach z centrali wewnętrznej Zamawiającego. </w:t>
      </w:r>
    </w:p>
    <w:p w:rsidR="000D1975" w:rsidRDefault="00A104D8">
      <w:pPr>
        <w:pStyle w:val="Standard"/>
        <w:ind w:left="930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Numery wywoławcze dla przedmiotowej wiązki PBX-12 633-01-00, </w:t>
      </w:r>
    </w:p>
    <w:p w:rsidR="000D1975" w:rsidRDefault="00A104D8">
      <w:pPr>
        <w:pStyle w:val="Standard"/>
        <w:ind w:left="930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12  257-82-00.</w:t>
      </w:r>
    </w:p>
    <w:p w:rsidR="000D1975" w:rsidRDefault="000D1975">
      <w:pPr>
        <w:pStyle w:val="Standard"/>
        <w:ind w:left="930" w:right="282"/>
        <w:jc w:val="both"/>
        <w:rPr>
          <w:rFonts w:ascii="Calibri Light" w:eastAsia="Verdana" w:hAnsi="Calibri Light" w:cs="Calibri Light"/>
          <w:color w:val="000000"/>
        </w:rPr>
      </w:pPr>
    </w:p>
    <w:p w:rsidR="000D1975" w:rsidRDefault="00A104D8">
      <w:pPr>
        <w:pStyle w:val="Standard"/>
        <w:numPr>
          <w:ilvl w:val="0"/>
          <w:numId w:val="5"/>
        </w:numPr>
        <w:ind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Instalacja 8 linii analogowych z zachowaniem dotychczasowych numerów:</w:t>
      </w:r>
    </w:p>
    <w:p w:rsidR="000D1975" w:rsidRDefault="00A104D8">
      <w:pPr>
        <w:pStyle w:val="Standard"/>
        <w:ind w:left="930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12 633-53-99, 12 416-30-40, 12 416-31-34, 12 633-97-45, oraz numery pracujące w wiązce PBX: 12 416-22-66, 12 416-22-38, 12 416-22-49,</w:t>
      </w:r>
    </w:p>
    <w:p w:rsidR="000D1975" w:rsidRDefault="00A104D8">
      <w:pPr>
        <w:pStyle w:val="Standard"/>
        <w:ind w:left="930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12 416-22-58.</w:t>
      </w:r>
    </w:p>
    <w:p w:rsidR="000D1975" w:rsidRDefault="00A104D8">
      <w:pPr>
        <w:pStyle w:val="Standard"/>
        <w:ind w:left="930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Numer wywoławczy dla przedmiotowej wiązki PBX-12 416-22-66.</w:t>
      </w:r>
    </w:p>
    <w:p w:rsidR="000D1975" w:rsidRDefault="000D1975">
      <w:pPr>
        <w:pStyle w:val="Standard"/>
        <w:ind w:left="930" w:right="282" w:hanging="363"/>
        <w:jc w:val="both"/>
        <w:rPr>
          <w:rFonts w:ascii="Calibri Light" w:eastAsia="Verdana" w:hAnsi="Calibri Light" w:cs="Calibri Light"/>
          <w:color w:val="000000"/>
        </w:rPr>
      </w:pPr>
    </w:p>
    <w:p w:rsidR="000D1975" w:rsidRDefault="00A104D8">
      <w:pPr>
        <w:pStyle w:val="Standard"/>
        <w:numPr>
          <w:ilvl w:val="0"/>
          <w:numId w:val="5"/>
        </w:numPr>
        <w:ind w:right="282"/>
        <w:jc w:val="both"/>
      </w:pPr>
      <w:r>
        <w:rPr>
          <w:rFonts w:ascii="Calibri Light" w:eastAsia="Verdana" w:hAnsi="Calibri Light" w:cs="Calibri Light"/>
          <w:color w:val="000000"/>
        </w:rPr>
        <w:t xml:space="preserve">Termin realizacji: od dnia </w:t>
      </w:r>
      <w:r>
        <w:rPr>
          <w:rFonts w:ascii="Calibri Light" w:eastAsia="Verdana" w:hAnsi="Calibri Light" w:cs="Calibri Light"/>
          <w:b/>
          <w:bCs/>
          <w:color w:val="000000"/>
        </w:rPr>
        <w:t>21 listopada 2025 r do dnia 20 listopada 2026 r.</w:t>
      </w:r>
    </w:p>
    <w:p w:rsidR="000D1975" w:rsidRDefault="000D1975">
      <w:pPr>
        <w:pStyle w:val="Standard"/>
        <w:ind w:left="930" w:right="282" w:hanging="363"/>
        <w:jc w:val="both"/>
        <w:rPr>
          <w:rFonts w:ascii="Calibri Light" w:eastAsia="Verdana" w:hAnsi="Calibri Light" w:cs="Calibri Light"/>
          <w:color w:val="000000"/>
        </w:rPr>
      </w:pPr>
    </w:p>
    <w:p w:rsidR="000D1975" w:rsidRDefault="00A104D8">
      <w:pPr>
        <w:pStyle w:val="Standard"/>
        <w:numPr>
          <w:ilvl w:val="0"/>
          <w:numId w:val="5"/>
        </w:numPr>
        <w:ind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Wymagania:</w:t>
      </w:r>
    </w:p>
    <w:p w:rsidR="000D1975" w:rsidRDefault="000D1975">
      <w:pPr>
        <w:pStyle w:val="Standard"/>
        <w:ind w:left="930" w:right="282" w:hanging="363"/>
        <w:jc w:val="both"/>
        <w:rPr>
          <w:rFonts w:ascii="Calibri Light" w:eastAsia="Verdana" w:hAnsi="Calibri Light" w:cs="Calibri Light"/>
          <w:color w:val="000000"/>
        </w:rPr>
      </w:pP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Zapewnienie usługi telefonicznej.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Doprowadzenie łączy ISDN 30B+D od operatora do centrali drogą kablową lub światłowodem.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Zachowanie możliwości przyjmowania połączeń na łączach ISDN z zachowaniem istniejącego numeru wywoławczego 12 633-01-00,</w:t>
      </w:r>
    </w:p>
    <w:p w:rsidR="000D1975" w:rsidRDefault="00A104D8">
      <w:pPr>
        <w:pStyle w:val="Standard"/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12 257-82-00  jako DDI.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</w:pPr>
      <w:r>
        <w:rPr>
          <w:rFonts w:ascii="Calibri Light" w:eastAsia="Verdana" w:hAnsi="Calibri Light" w:cs="Calibri Light"/>
          <w:color w:val="000000"/>
        </w:rPr>
        <w:t xml:space="preserve">Płatność wyłącznie na rzecz nowego operatora ( jedna faktura </w:t>
      </w:r>
      <w:r>
        <w:rPr>
          <w:rFonts w:ascii="Calibri Light" w:eastAsia="Verdana" w:hAnsi="Calibri Light" w:cs="Calibri Light"/>
        </w:rPr>
        <w:t>za</w:t>
      </w:r>
      <w:r>
        <w:rPr>
          <w:rFonts w:ascii="Calibri Light" w:eastAsia="Verdana" w:hAnsi="Calibri Light" w:cs="Calibri Light"/>
          <w:color w:val="000000"/>
        </w:rPr>
        <w:t xml:space="preserve"> połączenia i opłaty za łącza).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Termin płatności 60 dni od dnia dostarczenia faktury VAT.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Sekundowy system naliczania.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AOC dla wszystkich wychodzących połączeń na dostępach ISDN.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Brak opłaty za instalację urządzeń.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W zakresie przedmiotu zamówienia obejmującego świadczenie usług telefonii stacjonarnej, Wykonawca zobowiązany jest do zachowania ciągłości świadczenia usług telekomunikacyjnych w całym okresie trwania umowy, podłączenie linii bez powodowania przerw w pracy. W przypadku nagłej nieprzewidzianej przerwy w świadczeniu usług spowodowanej awarią ze strony Wykonawcy, Wykonawca zapewni jej usunięcie w czasie nie dłuższym niż 24 godzin od momentu zgłoszenia. Czas usunięcia awarii będzie liczony od momentu zgłoszenia awarii przez Zamawiającego e-mailem lub telefonicznie Opiekunowi Zamawiającego lub stwierdzenia awarii przez Wykonawcę.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Przeprowadzenia prac związanych z rozpoczęciem świadczenia przedmiotowej usługi w sposób zapewniający bezprzerwową łączność telefoniczną w lokalizacjach Zamawiającego, w szczególności wszelkie prace nie mogą pogorszyć funkcjonalności </w:t>
      </w:r>
      <w:r>
        <w:rPr>
          <w:rFonts w:ascii="Calibri Light" w:eastAsia="Verdana" w:hAnsi="Calibri Light" w:cs="Calibri Light"/>
          <w:color w:val="000000"/>
        </w:rPr>
        <w:lastRenderedPageBreak/>
        <w:t>centrali telefonicznej w zakresie połączeń i funkcji wewnętrznych Zamawiającego. Zapewnienia możliwości wykonywania połączeń telefonicznych, faksowych, prezentacji numerów, również w przypadku połączeń z siecią telefonii komórkowych, dokonania bezpłatnej całkowitej blokady połączeń 070x, 020x, 0400x, 0300x, z sieciami przywoławczymi. Zapewnienia Zamawiającemu bezpłatnego dostępu do aplikacji www umożliwiającej szczegółowy raport bilingowy w rozbiciu na numery DDI oraz na życzenie Zamawiającego w wersji papierowej.</w:t>
      </w:r>
    </w:p>
    <w:p w:rsidR="000D1975" w:rsidRDefault="00A104D8">
      <w:pPr>
        <w:pStyle w:val="Standard"/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Zapewnienia Zamawiającemu dostępu do powszechnie obowiązujących usług: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bezpłatnego połączenia do służb powołanych ustawowo do niesienia pomocy, posiadających skrócone numery telefonów takie jak:</w:t>
      </w:r>
    </w:p>
    <w:p w:rsidR="000D1975" w:rsidRDefault="000D1975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112 – Centrum Powiadamiania Ratunkowego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999 – Pogotowie Ratunkowe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998 – Straż Pożarna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997 – Policja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994 – Pogotowie wodno-kanalizacyjne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993 – Pogotowie ciepłownicze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991 – Pogotowie energetyczne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992 – Pogotowie gazowe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984 – Pogotowie rzeczne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985 – WOPR,GOPR,TOPR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986 – Straż Miejska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981 – Pogotowie Drogowe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995 – Komenda Główna Policji</w:t>
      </w:r>
    </w:p>
    <w:p w:rsidR="000D1975" w:rsidRDefault="00A104D8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          987 – Centrum Zarządzania Kryzysowego </w:t>
      </w:r>
    </w:p>
    <w:p w:rsidR="000D1975" w:rsidRDefault="000D1975">
      <w:pPr>
        <w:pStyle w:val="Standard"/>
        <w:ind w:left="1134" w:right="282" w:hanging="360"/>
        <w:jc w:val="both"/>
        <w:rPr>
          <w:rFonts w:ascii="Calibri Light" w:eastAsia="Verdana" w:hAnsi="Calibri Light" w:cs="Calibri Light"/>
          <w:color w:val="000000"/>
        </w:rPr>
      </w:pPr>
    </w:p>
    <w:p w:rsidR="000D1975" w:rsidRDefault="00A104D8">
      <w:pPr>
        <w:pStyle w:val="Standard"/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Zapewnienia możliwości wykonywania połączeń do: biur numerów, do numerów automatycznych serwisów informacyjnych, infolinii 0-8xx, linii informacyjnych 91xx itp.</w:t>
      </w:r>
    </w:p>
    <w:p w:rsidR="000D1975" w:rsidRDefault="000D1975">
      <w:pPr>
        <w:pStyle w:val="Standard"/>
        <w:ind w:left="1134" w:right="282"/>
        <w:jc w:val="both"/>
        <w:rPr>
          <w:rFonts w:ascii="Calibri Light" w:eastAsia="Verdana" w:hAnsi="Calibri Light" w:cs="Calibri Light"/>
          <w:color w:val="000000"/>
        </w:rPr>
      </w:pPr>
    </w:p>
    <w:p w:rsidR="000D1975" w:rsidRDefault="00A104D8">
      <w:pPr>
        <w:pStyle w:val="Standard"/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Zapewnienia naliczenia opłat z dokładnością do sekundy – taryfikacja sekundowa dla wszystkich połączeń, za każdą rozpoczętą sekundę w wysokości 1/60 oferowanej opłaty za minutę na wszystkich numerach Zamawiającego (wyłączając przypadki w których cena za połączenie nie zależy od czasu trwania), nie dopuszcza się żadnych opłat za inicjację połączenia.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Uwzględnienia w cenach jednostkowych za minutę rozmowy w rozliczeniu sekundowym kosztów, zachowania numerów telefonów dotychczas wykorzystywanych przez Zamawiającego i zarezerwowanych na jego potrzeby, zgodnie z wykazem niniejszego opisu przedmiotu zamówienia w pkt. I.1 i I.2.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Uwzględnienia w cenie abonamentu za łącza opisane w niniejszym opisie przedmiotu zamówienia, wszelkich dodatkowych kosztów niezbędnych do realizacji przedmiotu zamówienia, a nie związanych z opłatami za wykonane przez Zamawiającego połączenia, w tym kosztów wykonania przyłącza.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Dostarczenia Zamawiającemu przed podpisaniem umowy regulaminu świadczenia usług telekomunikacyjnych Wykonawcy.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Zapewnienia bezpłatnego wsparcia technicznego związanego ze świadczonymi usługami, dostępnego 24 godziny na dobę przez 7 dni w tygodniu.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Zapewnienia i wskazania imiennie  osoby do obsługi technicznej, handlowej i operacyjnej Zamawiającego tzw. Opiekuna Zamawiającego.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 xml:space="preserve">Wykonawca zobowiązany jest do wykonania przedmiotowego przyłącza aby zapewniało świadczenie usług telefonicznych w technice (technologii) cyfrowej (ISDN 30B+D). Zamawiający wyklucza możliwość realizacji połączeń w technologii VOIP. 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lastRenderedPageBreak/>
        <w:t>W zakresie technicznym realizacji niniejszego zamówienia obejmującego świadczenie usług telefonii stacjonarnej Wykonawca zobowiązany jest do montażu i uruchomienia 2 łączy typu ISDN 30B+D usytuowanych w pomieszczeniu centrali Zamawiającego, dostarczenie 8 linii analogowych do centrali Zamawiającego. Zachowania i bezpłatnego przeniesienia do swojej sieci istniejącej numeracji telefonicznej opisanej w pkt. I.1.i I.2.</w:t>
      </w:r>
    </w:p>
    <w:p w:rsidR="000D1975" w:rsidRDefault="00A104D8">
      <w:pPr>
        <w:pStyle w:val="Standard"/>
        <w:numPr>
          <w:ilvl w:val="0"/>
          <w:numId w:val="6"/>
        </w:numPr>
        <w:ind w:left="1134"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Zapewnienie Zamawiającemu w ramach zaoferowanego abonamentu za wszystkie linie telefoniczne, w okresie świadczenia usług, co miesiąc pakietu minimum 2000 bezpłatnych minut do wszystkich sieci.</w:t>
      </w:r>
    </w:p>
    <w:p w:rsidR="000D1975" w:rsidRDefault="00A104D8">
      <w:pPr>
        <w:pStyle w:val="Standard"/>
        <w:numPr>
          <w:ilvl w:val="0"/>
          <w:numId w:val="6"/>
        </w:numPr>
        <w:ind w:right="608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 przypadku przerwy w świadczeniu usługi spowodowanej awarią Wykonawca zobowiązany jest do usunięcia jej w czasie nie dłuższym niż 5 godzin od momentu zgłoszenia. Naliczanie czasu usunięcia awarii rozpoczyna się od momentu dokonania przez Zamawiającego zgłoszenia. Przez awarię rozumie się stan niesprawności urządzeń uniemożliwiający ich funkcjonowanie i powodujący jego niewłaściwe działanie lub całkowite unieruchomienie.</w:t>
      </w:r>
    </w:p>
    <w:p w:rsidR="000D1975" w:rsidRDefault="00A104D8">
      <w:pPr>
        <w:pStyle w:val="Standard"/>
        <w:numPr>
          <w:ilvl w:val="0"/>
          <w:numId w:val="6"/>
        </w:numPr>
        <w:ind w:right="608"/>
        <w:jc w:val="both"/>
        <w:textAlignment w:val="auto"/>
      </w:pPr>
      <w:r>
        <w:rPr>
          <w:rFonts w:ascii="Calibri Light" w:hAnsi="Calibri Light" w:cs="Calibri Light"/>
        </w:rPr>
        <w:t xml:space="preserve">Zgłaszanie awarii odbywać się będzie drogą elektroniczną lub telefoniczną, a jej przyjęcie powinno być potwierdzane w ciągu 1 godziny na adres poczty elektronicznej </w:t>
      </w:r>
      <w:hyperlink r:id="rId7" w:history="1">
        <w:r>
          <w:rPr>
            <w:rStyle w:val="Hipercze"/>
            <w:rFonts w:ascii="Calibri Light" w:hAnsi="Calibri Light" w:cs="Calibri Light"/>
          </w:rPr>
          <w:t>dt2@narutowicz.krakow.pl</w:t>
        </w:r>
      </w:hyperlink>
      <w:r>
        <w:rPr>
          <w:rFonts w:ascii="Calibri Light" w:hAnsi="Calibri Light" w:cs="Calibri Light"/>
        </w:rPr>
        <w:t xml:space="preserve">. </w:t>
      </w:r>
    </w:p>
    <w:p w:rsidR="000D1975" w:rsidRDefault="000D1975">
      <w:pPr>
        <w:pStyle w:val="Standard"/>
        <w:ind w:right="282"/>
        <w:jc w:val="both"/>
        <w:rPr>
          <w:rFonts w:ascii="Calibri Light" w:eastAsia="Verdana" w:hAnsi="Calibri Light" w:cs="Calibri Light"/>
          <w:color w:val="000000"/>
        </w:rPr>
      </w:pPr>
    </w:p>
    <w:p w:rsidR="000D1975" w:rsidRDefault="000D1975">
      <w:pPr>
        <w:pStyle w:val="Standard"/>
        <w:ind w:left="1134" w:right="282"/>
        <w:jc w:val="both"/>
        <w:rPr>
          <w:rFonts w:ascii="Calibri Light" w:eastAsia="Verdana" w:hAnsi="Calibri Light" w:cs="Calibri Light"/>
          <w:color w:val="000000"/>
        </w:rPr>
      </w:pPr>
    </w:p>
    <w:p w:rsidR="000D1975" w:rsidRDefault="00A104D8">
      <w:pPr>
        <w:pStyle w:val="Standard"/>
        <w:ind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Do oferty należy dołączyć również:</w:t>
      </w:r>
    </w:p>
    <w:p w:rsidR="000D1975" w:rsidRDefault="000D1975">
      <w:pPr>
        <w:pStyle w:val="Standard"/>
        <w:ind w:right="282"/>
        <w:jc w:val="both"/>
        <w:rPr>
          <w:rFonts w:ascii="Calibri Light" w:eastAsia="Verdana" w:hAnsi="Calibri Light" w:cs="Calibri Light"/>
          <w:color w:val="000000"/>
        </w:rPr>
      </w:pPr>
    </w:p>
    <w:p w:rsidR="000D1975" w:rsidRDefault="00A104D8">
      <w:pPr>
        <w:pStyle w:val="Standard"/>
        <w:ind w:right="282"/>
        <w:jc w:val="both"/>
        <w:rPr>
          <w:rFonts w:ascii="Calibri Light" w:eastAsia="Verdana" w:hAnsi="Calibri Light" w:cs="Calibri Light"/>
          <w:color w:val="000000"/>
        </w:rPr>
      </w:pPr>
      <w:r>
        <w:rPr>
          <w:rFonts w:ascii="Calibri Light" w:eastAsia="Verdana" w:hAnsi="Calibri Light" w:cs="Calibri Light"/>
          <w:color w:val="000000"/>
        </w:rPr>
        <w:t>1. Aktualny odpis właściwego rejestru lub centralnej ewidencji i informacji o działalności gospodarczej, jeżeli odrębne przepisy wymagają wpisu do rejestru lub ewidencji.</w:t>
      </w:r>
    </w:p>
    <w:p w:rsidR="000D1975" w:rsidRPr="00D820B7" w:rsidRDefault="000D1975">
      <w:pPr>
        <w:pStyle w:val="Standard"/>
        <w:ind w:right="282"/>
        <w:jc w:val="both"/>
        <w:rPr>
          <w:rFonts w:asciiTheme="majorHAnsi" w:eastAsia="Verdana" w:hAnsiTheme="majorHAnsi" w:cstheme="majorHAnsi"/>
          <w:color w:val="000000"/>
        </w:rPr>
      </w:pPr>
    </w:p>
    <w:p w:rsidR="000D1975" w:rsidRPr="00D820B7" w:rsidRDefault="00A104D8">
      <w:pPr>
        <w:pStyle w:val="Standard"/>
        <w:ind w:right="282"/>
        <w:jc w:val="both"/>
        <w:rPr>
          <w:rFonts w:asciiTheme="majorHAnsi" w:hAnsiTheme="majorHAnsi" w:cstheme="majorHAnsi"/>
        </w:rPr>
      </w:pPr>
      <w:r w:rsidRPr="00D820B7">
        <w:rPr>
          <w:rFonts w:asciiTheme="majorHAnsi" w:eastAsia="Verdana" w:hAnsiTheme="majorHAnsi" w:cstheme="majorHAnsi"/>
          <w:color w:val="000000"/>
        </w:rPr>
        <w:t>Ofertę</w:t>
      </w:r>
      <w:r w:rsidR="00D820B7" w:rsidRPr="00D820B7">
        <w:rPr>
          <w:rFonts w:asciiTheme="majorHAnsi" w:eastAsia="Verdana" w:hAnsiTheme="majorHAnsi" w:cstheme="majorHAnsi"/>
          <w:color w:val="000000"/>
        </w:rPr>
        <w:t xml:space="preserve"> wraz z załącznikami</w:t>
      </w:r>
      <w:r w:rsidRPr="00D820B7">
        <w:rPr>
          <w:rFonts w:asciiTheme="majorHAnsi" w:eastAsia="Verdana" w:hAnsiTheme="majorHAnsi" w:cstheme="majorHAnsi"/>
          <w:color w:val="000000"/>
        </w:rPr>
        <w:t xml:space="preserve"> proszę przesłać drogą elektroniczną na adres:</w:t>
      </w:r>
      <w:r w:rsidR="00D820B7" w:rsidRPr="00D820B7">
        <w:rPr>
          <w:rFonts w:asciiTheme="majorHAnsi" w:eastAsia="Verdana" w:hAnsiTheme="majorHAnsi" w:cstheme="majorHAnsi"/>
          <w:color w:val="000000"/>
        </w:rPr>
        <w:t xml:space="preserve"> </w:t>
      </w:r>
      <w:hyperlink r:id="rId8" w:history="1">
        <w:r w:rsidR="00D820B7" w:rsidRPr="00D820B7">
          <w:rPr>
            <w:rStyle w:val="Hipercze"/>
            <w:rFonts w:asciiTheme="majorHAnsi" w:eastAsia="Verdana" w:hAnsiTheme="majorHAnsi" w:cstheme="majorHAnsi"/>
          </w:rPr>
          <w:t>dt2@narutowicz.krakow.pl</w:t>
        </w:r>
      </w:hyperlink>
      <w:r w:rsidRPr="00D820B7">
        <w:rPr>
          <w:rFonts w:asciiTheme="majorHAnsi" w:eastAsia="Verdana" w:hAnsiTheme="majorHAnsi" w:cstheme="majorHAnsi"/>
          <w:color w:val="000000"/>
        </w:rPr>
        <w:t xml:space="preserve"> do dnia </w:t>
      </w:r>
      <w:r w:rsidRPr="00D820B7">
        <w:rPr>
          <w:rFonts w:asciiTheme="majorHAnsi" w:eastAsia="Verdana" w:hAnsiTheme="majorHAnsi" w:cstheme="majorHAnsi"/>
          <w:color w:val="000000"/>
          <w:u w:val="single"/>
        </w:rPr>
        <w:t>1</w:t>
      </w:r>
      <w:r w:rsidR="00604531" w:rsidRPr="00D820B7">
        <w:rPr>
          <w:rFonts w:asciiTheme="majorHAnsi" w:eastAsia="Verdana" w:hAnsiTheme="majorHAnsi" w:cstheme="majorHAnsi"/>
          <w:color w:val="000000"/>
          <w:u w:val="single"/>
        </w:rPr>
        <w:t>4</w:t>
      </w:r>
      <w:r w:rsidRPr="00D820B7">
        <w:rPr>
          <w:rFonts w:asciiTheme="majorHAnsi" w:eastAsia="Verdana" w:hAnsiTheme="majorHAnsi" w:cstheme="majorHAnsi"/>
          <w:color w:val="000000"/>
          <w:u w:val="single"/>
        </w:rPr>
        <w:t xml:space="preserve">.11.2025 r. </w:t>
      </w:r>
    </w:p>
    <w:p w:rsidR="00D820B7" w:rsidRPr="00D820B7" w:rsidRDefault="00D820B7" w:rsidP="00D820B7">
      <w:pPr>
        <w:suppressAutoHyphens w:val="0"/>
        <w:textAlignment w:val="auto"/>
        <w:rPr>
          <w:rFonts w:asciiTheme="majorHAnsi" w:eastAsia="Verdana" w:hAnsiTheme="majorHAnsi" w:cstheme="majorHAnsi"/>
          <w:color w:val="000000"/>
        </w:rPr>
      </w:pPr>
      <w:r w:rsidRPr="00D820B7">
        <w:rPr>
          <w:rFonts w:asciiTheme="majorHAnsi" w:eastAsia="Verdana" w:hAnsiTheme="majorHAnsi" w:cstheme="majorHAnsi"/>
          <w:color w:val="000000"/>
        </w:rPr>
        <w:t xml:space="preserve">W załączeniu wzór umowy, załącznik nr 1, 2 obowiązek informacyjny (klauzula) oraz oświadczenie Wykonawcy. </w:t>
      </w:r>
    </w:p>
    <w:p w:rsidR="000D1975" w:rsidRPr="00D820B7" w:rsidRDefault="00A104D8">
      <w:pPr>
        <w:suppressAutoHyphens w:val="0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  <w:r w:rsidRPr="00D820B7">
        <w:rPr>
          <w:rFonts w:asciiTheme="majorHAnsi" w:eastAsia="Calibri" w:hAnsiTheme="majorHAnsi" w:cstheme="majorHAnsi"/>
          <w:kern w:val="0"/>
          <w:lang w:eastAsia="en-US" w:bidi="ar-SA"/>
        </w:rPr>
        <w:t>Złożenie oferty jest równoznaczne z akceptacją zapisów wzoru umowy.</w:t>
      </w:r>
    </w:p>
    <w:p w:rsidR="000D1975" w:rsidRDefault="000D1975">
      <w:pPr>
        <w:pStyle w:val="Standard"/>
        <w:shd w:val="clear" w:color="auto" w:fill="FFFFFF"/>
        <w:ind w:right="282"/>
        <w:jc w:val="both"/>
        <w:rPr>
          <w:rFonts w:ascii="Calibri Light" w:eastAsia="Verdana" w:hAnsi="Calibri Light" w:cs="Calibri Light"/>
          <w:color w:val="000000"/>
        </w:rPr>
      </w:pPr>
    </w:p>
    <w:sectPr w:rsidR="000D1975">
      <w:pgSz w:w="11906" w:h="16838"/>
      <w:pgMar w:top="567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4D8" w:rsidRDefault="00A104D8">
      <w:r>
        <w:separator/>
      </w:r>
    </w:p>
  </w:endnote>
  <w:endnote w:type="continuationSeparator" w:id="0">
    <w:p w:rsidR="00A104D8" w:rsidRDefault="00A1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, 'Arial Unicode MS'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4D8" w:rsidRDefault="00A104D8">
      <w:r>
        <w:rPr>
          <w:color w:val="000000"/>
        </w:rPr>
        <w:separator/>
      </w:r>
    </w:p>
  </w:footnote>
  <w:footnote w:type="continuationSeparator" w:id="0">
    <w:p w:rsidR="00A104D8" w:rsidRDefault="00A1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53FD"/>
    <w:multiLevelType w:val="multilevel"/>
    <w:tmpl w:val="98A0DE88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73130B8"/>
    <w:multiLevelType w:val="multilevel"/>
    <w:tmpl w:val="69C64BC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F2D5943"/>
    <w:multiLevelType w:val="multilevel"/>
    <w:tmpl w:val="2DE645D6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6954008"/>
    <w:multiLevelType w:val="multilevel"/>
    <w:tmpl w:val="703E630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6BC95CCB"/>
    <w:multiLevelType w:val="multilevel"/>
    <w:tmpl w:val="3E0E1B8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A3A11"/>
    <w:multiLevelType w:val="multilevel"/>
    <w:tmpl w:val="AEACA966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kern w:val="0"/>
        <w:sz w:val="22"/>
        <w:szCs w:val="22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99478646">
    <w:abstractNumId w:val="3"/>
  </w:num>
  <w:num w:numId="2" w16cid:durableId="185753049">
    <w:abstractNumId w:val="1"/>
  </w:num>
  <w:num w:numId="3" w16cid:durableId="1486584065">
    <w:abstractNumId w:val="0"/>
  </w:num>
  <w:num w:numId="4" w16cid:durableId="711199231">
    <w:abstractNumId w:val="5"/>
  </w:num>
  <w:num w:numId="5" w16cid:durableId="1028263655">
    <w:abstractNumId w:val="2"/>
  </w:num>
  <w:num w:numId="6" w16cid:durableId="1880125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75"/>
    <w:rsid w:val="000D1975"/>
    <w:rsid w:val="00232A68"/>
    <w:rsid w:val="0028243D"/>
    <w:rsid w:val="00604531"/>
    <w:rsid w:val="008F3C29"/>
    <w:rsid w:val="00A104D8"/>
    <w:rsid w:val="00D8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9D8A"/>
  <w15:docId w15:val="{DCB539EA-FA7B-4D87-BD10-17D57457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ekstpodstawowywcity3">
    <w:name w:val="Body Text Indent 3"/>
    <w:basedOn w:val="Standard"/>
    <w:pPr>
      <w:tabs>
        <w:tab w:val="left" w:pos="3960"/>
      </w:tabs>
      <w:ind w:left="360" w:hanging="360"/>
      <w:jc w:val="both"/>
    </w:pPr>
  </w:style>
  <w:style w:type="paragraph" w:styleId="Tekstpodstawowywcity2">
    <w:name w:val="Body Text Indent 2"/>
    <w:basedOn w:val="Standard"/>
    <w:pPr>
      <w:ind w:left="426" w:hanging="426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</w:r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</w:style>
  <w:style w:type="paragraph" w:customStyle="1" w:styleId="Tekstpodstawowywcity21">
    <w:name w:val="Tekst podstawowy wcięty 21"/>
    <w:basedOn w:val="Standard"/>
    <w:pPr>
      <w:ind w:left="426" w:hanging="426"/>
    </w:pPr>
  </w:style>
  <w:style w:type="paragraph" w:customStyle="1" w:styleId="Tekstpodstawowywcity31">
    <w:name w:val="Tekst podstawowy wcięty 31"/>
    <w:basedOn w:val="Standard"/>
    <w:pPr>
      <w:tabs>
        <w:tab w:val="left" w:pos="3960"/>
      </w:tabs>
      <w:ind w:left="360" w:hanging="360"/>
      <w:jc w:val="both"/>
    </w:pPr>
  </w:style>
  <w:style w:type="paragraph" w:customStyle="1" w:styleId="Framecontents">
    <w:name w:val="Frame contents"/>
    <w:basedOn w:val="Textbody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Podtytu">
    <w:name w:val="Subtitle"/>
    <w:basedOn w:val="Nagwek10"/>
    <w:next w:val="Textbody"/>
    <w:uiPriority w:val="11"/>
    <w:qFormat/>
    <w:pPr>
      <w:jc w:val="center"/>
    </w:pPr>
    <w:rPr>
      <w:i/>
      <w:iCs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Lista">
    <w:name w:val="List"/>
    <w:basedOn w:val="Textbody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6z0">
    <w:name w:val="WW8Num16z0"/>
    <w:rPr>
      <w:rFonts w:ascii="Symbol" w:eastAsia="Symbol" w:hAnsi="Symbol" w:cs="OpenSymbol, 'Arial Unicode MS'"/>
      <w:sz w:val="22"/>
      <w:szCs w:val="22"/>
    </w:rPr>
  </w:style>
  <w:style w:type="character" w:customStyle="1" w:styleId="TekstdymkaZnak">
    <w:name w:val="Tekst dymka Znak"/>
    <w:rPr>
      <w:rFonts w:ascii="Segoe UI" w:eastAsia="Segoe UI" w:hAnsi="Segoe UI" w:cs="Segoe UI"/>
      <w:kern w:val="3"/>
      <w:sz w:val="18"/>
      <w:szCs w:val="18"/>
    </w:rPr>
  </w:style>
  <w:style w:type="character" w:customStyle="1" w:styleId="TematkomentarzaZnak">
    <w:name w:val="Temat komentarza Znak"/>
    <w:rPr>
      <w:b/>
      <w:bCs/>
      <w:kern w:val="3"/>
    </w:rPr>
  </w:style>
  <w:style w:type="character" w:customStyle="1" w:styleId="TekstkomentarzaZnak">
    <w:name w:val="Tekst komentarza Znak"/>
    <w:rPr>
      <w:kern w:val="3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1z0">
    <w:name w:val="WW8Num11z0"/>
  </w:style>
  <w:style w:type="character" w:customStyle="1" w:styleId="WW8Num12z0">
    <w:name w:val="WW8Num12z0"/>
    <w:rPr>
      <w:sz w:val="24"/>
    </w:rPr>
  </w:style>
  <w:style w:type="character" w:customStyle="1" w:styleId="WW8Num13z0">
    <w:name w:val="WW8Num13z0"/>
    <w:rPr>
      <w:b w:val="0"/>
      <w:sz w:val="24"/>
    </w:rPr>
  </w:style>
  <w:style w:type="character" w:customStyle="1" w:styleId="WW8Num14z0">
    <w:name w:val="WW8Num14z0"/>
    <w:rPr>
      <w:sz w:val="24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8Num14z5">
    <w:name w:val="WW8Num14z5"/>
    <w:rPr>
      <w:rFonts w:ascii="Wingdings" w:eastAsia="Wingdings" w:hAnsi="Wingdings" w:cs="Wingdings"/>
    </w:rPr>
  </w:style>
  <w:style w:type="character" w:customStyle="1" w:styleId="WW8Num22z0">
    <w:name w:val="WW8Num22z0"/>
    <w:rPr>
      <w:b w:val="0"/>
    </w:rPr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nenumbering">
    <w:name w:val="Line numbering"/>
  </w:style>
  <w:style w:type="character" w:customStyle="1" w:styleId="NumberingSymbols">
    <w:name w:val="Numbering Symbols"/>
  </w:style>
  <w:style w:type="character" w:styleId="Numerstrony">
    <w:name w:val="page number"/>
    <w:basedOn w:val="Domylnaczcionkaakapitu1"/>
  </w:style>
  <w:style w:type="character" w:customStyle="1" w:styleId="Domylnaczcionkaakapitu1">
    <w:name w:val="Domyślna czcionka akapitu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8z0">
    <w:name w:val="WW8Num8z0"/>
  </w:style>
  <w:style w:type="character" w:customStyle="1" w:styleId="WW8Num7z0">
    <w:name w:val="WW8Num7z0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rFonts w:ascii="Symbol" w:eastAsia="Symbol" w:hAnsi="Symbol" w:cs="Symbol"/>
      <w:color w:val="000000"/>
      <w:kern w:val="0"/>
      <w:sz w:val="22"/>
      <w:szCs w:val="22"/>
      <w:lang w:eastAsia="pl-PL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ascii="Verdana" w:eastAsia="Verdana" w:hAnsi="Verdana" w:cs="Verdana"/>
      <w:sz w:val="22"/>
      <w:szCs w:val="22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Verdana" w:eastAsia="Verdana" w:hAnsi="Verdana" w:cs="Verdana"/>
      <w:vanish w:val="0"/>
      <w:sz w:val="22"/>
      <w:szCs w:val="22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styleId="Hipercze">
    <w:name w:val="Hyperlink"/>
    <w:basedOn w:val="Domylnaczcionkaakapitu"/>
    <w:rPr>
      <w:color w:val="0563C1"/>
      <w:u w:val="single" w:color="000000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2@narutowicz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2@narutowic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Dudek-Wójtowicz</dc:creator>
  <cp:lastModifiedBy>Gabriela Godyń</cp:lastModifiedBy>
  <cp:revision>4</cp:revision>
  <cp:lastPrinted>2021-09-28T08:46:00Z</cp:lastPrinted>
  <dcterms:created xsi:type="dcterms:W3CDTF">2025-11-05T11:37:00Z</dcterms:created>
  <dcterms:modified xsi:type="dcterms:W3CDTF">2025-11-06T12:14:00Z</dcterms:modified>
</cp:coreProperties>
</file>