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9A3C" w14:textId="649EC289" w:rsidR="00E11F1D" w:rsidRPr="003E3A36" w:rsidRDefault="00BB7A8A" w:rsidP="000A77D4">
      <w:pPr>
        <w:spacing w:line="360" w:lineRule="auto"/>
        <w:rPr>
          <w:lang w:val="pl-PL"/>
        </w:rPr>
      </w:pPr>
      <w:r w:rsidRPr="008F15B9">
        <w:rPr>
          <w:b/>
          <w:lang w:val="pl-PL"/>
        </w:rPr>
        <w:t xml:space="preserve">Nr sprawy: </w:t>
      </w:r>
      <w:r w:rsidR="003E3A36" w:rsidRPr="008F15B9">
        <w:rPr>
          <w:b/>
          <w:lang w:val="pl-PL"/>
        </w:rPr>
        <w:t>15</w:t>
      </w:r>
      <w:r w:rsidRPr="008F15B9">
        <w:rPr>
          <w:b/>
          <w:lang w:val="pl-PL"/>
        </w:rPr>
        <w:t>/INF</w:t>
      </w:r>
      <w:r w:rsidR="001C4640" w:rsidRPr="008F15B9">
        <w:rPr>
          <w:b/>
          <w:lang w:val="pl-PL"/>
        </w:rPr>
        <w:t>/2026</w:t>
      </w:r>
      <w:r w:rsidRPr="008F15B9">
        <w:rPr>
          <w:color w:val="000000"/>
          <w:lang w:val="pl-PL"/>
        </w:rPr>
        <w:tab/>
      </w:r>
      <w:r w:rsidRPr="008F15B9">
        <w:rPr>
          <w:color w:val="000000"/>
          <w:lang w:val="pl-PL"/>
        </w:rPr>
        <w:tab/>
      </w:r>
      <w:r w:rsidRPr="008F15B9">
        <w:rPr>
          <w:color w:val="000000"/>
          <w:lang w:val="pl-PL"/>
        </w:rPr>
        <w:tab/>
      </w:r>
      <w:r w:rsidRPr="008F15B9">
        <w:rPr>
          <w:color w:val="000000"/>
          <w:lang w:val="pl-PL"/>
        </w:rPr>
        <w:tab/>
      </w:r>
      <w:r w:rsidRPr="003E3A36">
        <w:rPr>
          <w:color w:val="000000"/>
          <w:lang w:val="pl-PL"/>
        </w:rPr>
        <w:tab/>
      </w:r>
      <w:r w:rsidRPr="003E3A36">
        <w:rPr>
          <w:color w:val="000000"/>
          <w:lang w:val="pl-PL"/>
        </w:rPr>
        <w:tab/>
      </w:r>
      <w:r w:rsidRPr="003E3A36">
        <w:rPr>
          <w:b/>
          <w:color w:val="000000"/>
          <w:lang w:val="pl-PL"/>
        </w:rPr>
        <w:t>Załącznik nr 1</w:t>
      </w:r>
    </w:p>
    <w:p w14:paraId="3980A9B8" w14:textId="77777777" w:rsidR="00E11F1D" w:rsidRPr="003E3A36" w:rsidRDefault="00BB7A8A" w:rsidP="000A77D4">
      <w:pPr>
        <w:spacing w:after="120" w:line="360" w:lineRule="auto"/>
        <w:jc w:val="center"/>
        <w:rPr>
          <w:lang w:val="pl-PL"/>
        </w:rPr>
      </w:pPr>
      <w:r w:rsidRPr="003E3A36">
        <w:rPr>
          <w:b/>
          <w:color w:val="000000"/>
          <w:sz w:val="26"/>
          <w:lang w:val="pl-PL"/>
        </w:rPr>
        <w:t>OPIS PRZEDMIOTU ZAMÓWIENIA</w:t>
      </w:r>
    </w:p>
    <w:p w14:paraId="17FBD1FC" w14:textId="738C4694" w:rsidR="00E11F1D" w:rsidRPr="003E3A36" w:rsidRDefault="00BB7A8A" w:rsidP="000A77D4">
      <w:pPr>
        <w:spacing w:after="240" w:line="360" w:lineRule="auto"/>
        <w:jc w:val="center"/>
        <w:rPr>
          <w:lang w:val="pl-PL"/>
        </w:rPr>
      </w:pPr>
      <w:r w:rsidRPr="003E3A36">
        <w:rPr>
          <w:b/>
          <w:lang w:val="pl-PL"/>
        </w:rPr>
        <w:t>„</w:t>
      </w:r>
      <w:r w:rsidR="003E3A36" w:rsidRPr="003E3A36">
        <w:rPr>
          <w:lang w:val="pl-PL"/>
        </w:rPr>
        <w:t xml:space="preserve"> </w:t>
      </w:r>
      <w:r w:rsidR="003E3A36" w:rsidRPr="003E3A36">
        <w:rPr>
          <w:b/>
          <w:lang w:val="pl-PL"/>
        </w:rPr>
        <w:t>Dostęp do sieci internetowej wraz z dodatkowymi usługami</w:t>
      </w:r>
      <w:r w:rsidRPr="003E3A36">
        <w:rPr>
          <w:b/>
          <w:lang w:val="pl-PL"/>
        </w:rPr>
        <w:t>”</w:t>
      </w:r>
    </w:p>
    <w:p w14:paraId="32B377BB" w14:textId="77777777" w:rsidR="00E11F1D" w:rsidRPr="003E3A36" w:rsidRDefault="00BB7A8A" w:rsidP="000A77D4">
      <w:pPr>
        <w:spacing w:before="120" w:after="80" w:line="360" w:lineRule="auto"/>
        <w:jc w:val="both"/>
        <w:rPr>
          <w:lang w:val="pl-PL"/>
        </w:rPr>
      </w:pPr>
      <w:r w:rsidRPr="003E3A36">
        <w:rPr>
          <w:b/>
          <w:lang w:val="pl-PL"/>
        </w:rPr>
        <w:t>I. Ogólny opis przedmiotu zamówienia</w:t>
      </w:r>
    </w:p>
    <w:p w14:paraId="2A0509D7" w14:textId="40FB8A55" w:rsidR="00E11F1D" w:rsidRPr="003E3A36" w:rsidRDefault="00BB7A8A" w:rsidP="000A77D4">
      <w:pPr>
        <w:spacing w:after="120" w:line="360" w:lineRule="auto"/>
        <w:jc w:val="both"/>
        <w:rPr>
          <w:lang w:val="pl-PL"/>
        </w:rPr>
      </w:pPr>
      <w:r w:rsidRPr="003E3A36">
        <w:rPr>
          <w:lang w:val="pl-PL"/>
        </w:rPr>
        <w:t xml:space="preserve">Przedmiotem zamówienia jest świadczenie </w:t>
      </w:r>
      <w:r w:rsidR="003E3A36" w:rsidRPr="003E3A36">
        <w:rPr>
          <w:b/>
          <w:lang w:val="pl-PL"/>
        </w:rPr>
        <w:t>usługi dostępu do sieci internetowej wraz z dodatkowymi usługami</w:t>
      </w:r>
      <w:r w:rsidRPr="003E3A36">
        <w:rPr>
          <w:lang w:val="pl-PL"/>
        </w:rPr>
        <w:t xml:space="preserve"> Zamawiającego w okresie obowiązywania umowy.</w:t>
      </w:r>
    </w:p>
    <w:p w14:paraId="1E574CD5" w14:textId="77777777" w:rsidR="00E11F1D" w:rsidRDefault="00BB7A8A" w:rsidP="000A77D4">
      <w:pPr>
        <w:spacing w:before="120" w:after="80" w:line="360" w:lineRule="auto"/>
        <w:jc w:val="both"/>
        <w:rPr>
          <w:b/>
          <w:lang w:val="pl-PL"/>
        </w:rPr>
      </w:pPr>
      <w:r w:rsidRPr="003E3A36">
        <w:rPr>
          <w:b/>
          <w:lang w:val="pl-PL"/>
        </w:rPr>
        <w:t>II. Szczegółowy zakres usług</w:t>
      </w:r>
    </w:p>
    <w:p w14:paraId="4F503860" w14:textId="77777777" w:rsidR="005C5C16" w:rsidRPr="005C5C16" w:rsidRDefault="005C5C16" w:rsidP="000A77D4">
      <w:pPr>
        <w:spacing w:after="160" w:line="360" w:lineRule="auto"/>
        <w:ind w:left="24"/>
        <w:rPr>
          <w:lang w:val="pl-PL"/>
        </w:rPr>
      </w:pPr>
      <w:r w:rsidRPr="005C5C16">
        <w:rPr>
          <w:lang w:val="pl-PL"/>
        </w:rPr>
        <w:t>1. Dostęp do sieci internetowej:</w:t>
      </w:r>
    </w:p>
    <w:p w14:paraId="538F9204" w14:textId="77777777" w:rsidR="005C5C16" w:rsidRPr="005C5C16" w:rsidRDefault="005C5C16" w:rsidP="000A77D4">
      <w:pPr>
        <w:pStyle w:val="Akapitzlist"/>
        <w:numPr>
          <w:ilvl w:val="0"/>
          <w:numId w:val="14"/>
        </w:numPr>
        <w:spacing w:after="0" w:line="360" w:lineRule="auto"/>
        <w:jc w:val="both"/>
        <w:rPr>
          <w:lang w:val="pl-PL"/>
        </w:rPr>
      </w:pPr>
      <w:r w:rsidRPr="005C5C16">
        <w:rPr>
          <w:lang w:val="pl-PL"/>
        </w:rPr>
        <w:t xml:space="preserve">dostęp do Internetu, światłowód doprowadzony do budynku zamawiającego — </w:t>
      </w:r>
      <w:r w:rsidRPr="00B952D4">
        <w:rPr>
          <w:b/>
          <w:bCs/>
          <w:lang w:val="pl-PL"/>
        </w:rPr>
        <w:t>min. 3000 Mbps,</w:t>
      </w:r>
    </w:p>
    <w:p w14:paraId="45E186CF" w14:textId="2F04A392" w:rsidR="005C5C16" w:rsidRPr="005C5C16" w:rsidRDefault="005C5C16" w:rsidP="000A77D4">
      <w:pPr>
        <w:pStyle w:val="Akapitzlist"/>
        <w:numPr>
          <w:ilvl w:val="0"/>
          <w:numId w:val="14"/>
        </w:numPr>
        <w:spacing w:after="0" w:line="360" w:lineRule="auto"/>
        <w:jc w:val="both"/>
        <w:rPr>
          <w:lang w:val="pl-PL"/>
        </w:rPr>
      </w:pPr>
      <w:r w:rsidRPr="005C5C16">
        <w:rPr>
          <w:lang w:val="pl-PL"/>
        </w:rPr>
        <w:t>nielimitowany transfer danych</w:t>
      </w:r>
      <w:r>
        <w:rPr>
          <w:lang w:val="pl-PL"/>
        </w:rPr>
        <w:t xml:space="preserve"> </w:t>
      </w:r>
      <w:r w:rsidRPr="005C5C16">
        <w:rPr>
          <w:lang w:val="pl-PL"/>
        </w:rPr>
        <w:t>(realizowany np. transmisją I2 ) do zasobów poczty elektronicznej oraz kopii bezpieczeństwa</w:t>
      </w:r>
      <w:r>
        <w:rPr>
          <w:lang w:val="pl-PL"/>
        </w:rPr>
        <w:t>,</w:t>
      </w:r>
    </w:p>
    <w:p w14:paraId="3F8D5E38" w14:textId="0B57FA9E" w:rsidR="005C5C16" w:rsidRPr="005C5C16" w:rsidRDefault="005C5C16" w:rsidP="000A77D4">
      <w:pPr>
        <w:pStyle w:val="Akapitzlist"/>
        <w:numPr>
          <w:ilvl w:val="0"/>
          <w:numId w:val="14"/>
        </w:numPr>
        <w:spacing w:after="0" w:line="360" w:lineRule="auto"/>
        <w:ind w:right="5107"/>
        <w:rPr>
          <w:lang w:val="pl-PL"/>
        </w:rPr>
      </w:pPr>
      <w:r w:rsidRPr="005C5C16">
        <w:rPr>
          <w:lang w:val="pl-PL"/>
        </w:rPr>
        <w:t xml:space="preserve">pełna gwarancja przepustowości, </w:t>
      </w:r>
    </w:p>
    <w:p w14:paraId="77FD877E" w14:textId="73431A3F" w:rsidR="005C5C16" w:rsidRPr="005C5C16" w:rsidRDefault="005C5C16" w:rsidP="000A77D4">
      <w:pPr>
        <w:pStyle w:val="Akapitzlist"/>
        <w:numPr>
          <w:ilvl w:val="0"/>
          <w:numId w:val="14"/>
        </w:numPr>
        <w:spacing w:after="0" w:line="360" w:lineRule="auto"/>
        <w:ind w:right="5107"/>
        <w:rPr>
          <w:lang w:val="pl-PL"/>
        </w:rPr>
      </w:pPr>
      <w:r w:rsidRPr="005C5C16">
        <w:rPr>
          <w:lang w:val="pl-PL"/>
        </w:rPr>
        <w:t>obsługa protokołu BGP,</w:t>
      </w:r>
    </w:p>
    <w:p w14:paraId="5443D3E0" w14:textId="77777777" w:rsidR="005C5C16" w:rsidRPr="005C5C16" w:rsidRDefault="005C5C16" w:rsidP="000A77D4">
      <w:pPr>
        <w:pStyle w:val="Akapitzlist"/>
        <w:numPr>
          <w:ilvl w:val="0"/>
          <w:numId w:val="14"/>
        </w:numPr>
        <w:spacing w:after="0" w:line="360" w:lineRule="auto"/>
        <w:jc w:val="both"/>
        <w:rPr>
          <w:lang w:val="pl-PL"/>
        </w:rPr>
      </w:pPr>
      <w:r w:rsidRPr="005C5C16">
        <w:rPr>
          <w:lang w:val="pl-PL"/>
        </w:rPr>
        <w:t>diagnozowanie i szybkie usuwanie nieprawidłowości w funkcjonowaniu systemu,</w:t>
      </w:r>
    </w:p>
    <w:p w14:paraId="45D5388E" w14:textId="6CC51A87" w:rsidR="005C5C16" w:rsidRPr="005C5C16" w:rsidRDefault="005C5C16" w:rsidP="000A77D4">
      <w:pPr>
        <w:pStyle w:val="Akapitzlist"/>
        <w:numPr>
          <w:ilvl w:val="0"/>
          <w:numId w:val="14"/>
        </w:numPr>
        <w:spacing w:after="0" w:line="360" w:lineRule="auto"/>
        <w:jc w:val="both"/>
        <w:rPr>
          <w:lang w:val="pl-PL"/>
        </w:rPr>
      </w:pPr>
      <w:r w:rsidRPr="005C5C16">
        <w:rPr>
          <w:lang w:val="pl-PL"/>
        </w:rPr>
        <w:t>stały monitoring sprawności łącza,</w:t>
      </w:r>
    </w:p>
    <w:p w14:paraId="1FE78830" w14:textId="77777777" w:rsidR="005C5C16" w:rsidRPr="005C5C16" w:rsidRDefault="005C5C16" w:rsidP="000A77D4">
      <w:pPr>
        <w:pStyle w:val="Akapitzlist"/>
        <w:numPr>
          <w:ilvl w:val="0"/>
          <w:numId w:val="14"/>
        </w:numPr>
        <w:spacing w:after="0" w:line="360" w:lineRule="auto"/>
        <w:jc w:val="both"/>
        <w:rPr>
          <w:lang w:val="pl-PL"/>
        </w:rPr>
      </w:pPr>
      <w:r w:rsidRPr="005C5C16">
        <w:rPr>
          <w:lang w:val="pl-PL"/>
        </w:rPr>
        <w:t>dostęp do statystyk wykorzystania pasma.</w:t>
      </w:r>
    </w:p>
    <w:p w14:paraId="3C1FD4E0" w14:textId="77777777" w:rsidR="005C5C16" w:rsidRDefault="005C5C16" w:rsidP="000A77D4">
      <w:pPr>
        <w:spacing w:after="112" w:line="360" w:lineRule="auto"/>
        <w:ind w:left="24"/>
        <w:rPr>
          <w:lang w:val="pl-PL"/>
        </w:rPr>
      </w:pPr>
    </w:p>
    <w:p w14:paraId="106062CC" w14:textId="55CD32B9" w:rsidR="005C5C16" w:rsidRPr="005C5C16" w:rsidRDefault="005C5C16" w:rsidP="000A77D4">
      <w:pPr>
        <w:spacing w:after="112" w:line="360" w:lineRule="auto"/>
        <w:ind w:left="24"/>
        <w:rPr>
          <w:lang w:val="pl-PL"/>
        </w:rPr>
      </w:pPr>
      <w:r w:rsidRPr="005C5C16">
        <w:rPr>
          <w:lang w:val="pl-PL"/>
        </w:rPr>
        <w:t>2. Usługi dodatkowe:</w:t>
      </w:r>
    </w:p>
    <w:p w14:paraId="483FC58C" w14:textId="42F33E6A" w:rsidR="005C5C16" w:rsidRPr="005C5C16" w:rsidRDefault="001C4640" w:rsidP="000A77D4">
      <w:pPr>
        <w:pStyle w:val="Akapitzlist"/>
        <w:numPr>
          <w:ilvl w:val="0"/>
          <w:numId w:val="15"/>
        </w:numPr>
        <w:spacing w:after="173" w:line="360" w:lineRule="auto"/>
        <w:jc w:val="both"/>
        <w:rPr>
          <w:lang w:val="pl-PL"/>
        </w:rPr>
      </w:pPr>
      <w:r>
        <w:rPr>
          <w:lang w:val="pl-PL"/>
        </w:rPr>
        <w:t>h</w:t>
      </w:r>
      <w:r w:rsidRPr="001C4640">
        <w:rPr>
          <w:lang w:val="pl-PL"/>
        </w:rPr>
        <w:t>osting strony internetowej Zamawiającego prowadzonej w domenie narutowicz.krakow.pl, w tym udostępnienie zasobów serwerowych o parametrach gwarantujących ciągłe funkcjonowanie serwisu WWW, świadczonych w trybie 24 godziny na dobę, 7 dni w tygodniu</w:t>
      </w:r>
      <w:r>
        <w:rPr>
          <w:lang w:val="pl-PL"/>
        </w:rPr>
        <w:t xml:space="preserve"> </w:t>
      </w:r>
      <w:r w:rsidR="005C5C16" w:rsidRPr="005C5C16">
        <w:rPr>
          <w:lang w:val="pl-PL"/>
        </w:rPr>
        <w:t>(migracja dotychczasowych danych oraz treści</w:t>
      </w:r>
      <w:r w:rsidR="005C5C16">
        <w:rPr>
          <w:lang w:val="pl-PL"/>
        </w:rPr>
        <w:t xml:space="preserve"> w razie konieczności</w:t>
      </w:r>
      <w:r w:rsidR="005C5C16" w:rsidRPr="005C5C16">
        <w:rPr>
          <w:lang w:val="pl-PL"/>
        </w:rPr>
        <w:t>),</w:t>
      </w:r>
    </w:p>
    <w:p w14:paraId="07207AAE" w14:textId="3A12EFF2" w:rsidR="005C5C16" w:rsidRPr="005C5C16" w:rsidRDefault="005C5C16" w:rsidP="000A77D4">
      <w:pPr>
        <w:pStyle w:val="Akapitzlist"/>
        <w:numPr>
          <w:ilvl w:val="0"/>
          <w:numId w:val="15"/>
        </w:numPr>
        <w:spacing w:after="169" w:line="360" w:lineRule="auto"/>
        <w:rPr>
          <w:lang w:val="pl-PL"/>
        </w:rPr>
      </w:pPr>
      <w:r w:rsidRPr="005C5C16">
        <w:rPr>
          <w:lang w:val="pl-PL"/>
        </w:rPr>
        <w:t>backup serwisu internetowego, a mianowicie Wykonawca wykonuje kopię bezpieczeństwa strony www.narutowicz.krakow.pl codziennie w godzinach między 24:00 a 6:00 rano dla każdego dnia tygodnia osobno, tak aby możliwe było przywrócenie danych co najmniej 7 dni wstecz, backup jest wykonywany automatycznie,</w:t>
      </w:r>
    </w:p>
    <w:p w14:paraId="040F0762" w14:textId="038BF39B" w:rsidR="005C5C16" w:rsidRPr="005C5C16" w:rsidRDefault="005C5C16" w:rsidP="000A77D4">
      <w:pPr>
        <w:pStyle w:val="Akapitzlist"/>
        <w:numPr>
          <w:ilvl w:val="0"/>
          <w:numId w:val="15"/>
        </w:numPr>
        <w:spacing w:after="161" w:line="360" w:lineRule="auto"/>
        <w:rPr>
          <w:lang w:val="pl-PL"/>
        </w:rPr>
      </w:pPr>
      <w:r w:rsidRPr="005C5C16">
        <w:rPr>
          <w:lang w:val="pl-PL"/>
        </w:rPr>
        <w:t>konsultacje i pomoc techniczna z zakresu obsługi systemów komputerowych, sieci komputerowej oraz urządzeń sieciowych,</w:t>
      </w:r>
    </w:p>
    <w:p w14:paraId="4F9AE77C" w14:textId="77777777" w:rsidR="005C5C16" w:rsidRPr="005C5C16" w:rsidRDefault="005C5C16" w:rsidP="000A77D4">
      <w:pPr>
        <w:pStyle w:val="Akapitzlist"/>
        <w:numPr>
          <w:ilvl w:val="0"/>
          <w:numId w:val="15"/>
        </w:numPr>
        <w:spacing w:after="3" w:line="360" w:lineRule="auto"/>
        <w:jc w:val="both"/>
        <w:rPr>
          <w:lang w:val="pl-PL"/>
        </w:rPr>
      </w:pPr>
      <w:r w:rsidRPr="005C5C16">
        <w:rPr>
          <w:lang w:val="pl-PL"/>
        </w:rPr>
        <w:t>okresowy audyt i usprawnianie sieci lokalnej,</w:t>
      </w:r>
    </w:p>
    <w:p w14:paraId="04AF5252" w14:textId="32E5C941" w:rsidR="005C5C16" w:rsidRPr="005C5C16" w:rsidRDefault="005C5C16" w:rsidP="000A77D4">
      <w:pPr>
        <w:pStyle w:val="Akapitzlist"/>
        <w:numPr>
          <w:ilvl w:val="0"/>
          <w:numId w:val="15"/>
        </w:numPr>
        <w:spacing w:after="148" w:line="360" w:lineRule="auto"/>
        <w:rPr>
          <w:lang w:val="pl-PL"/>
        </w:rPr>
      </w:pPr>
      <w:r w:rsidRPr="005C5C16">
        <w:rPr>
          <w:lang w:val="pl-PL"/>
        </w:rPr>
        <w:t>konfiguracja oraz wsparcie w obsłudze wydzielonych sieci wirtualnych, sieci bezprzewodowych, w tym wydzielonej sieci bezprzewodowej dla pacjentów,</w:t>
      </w:r>
    </w:p>
    <w:p w14:paraId="54F5D833" w14:textId="77777777" w:rsidR="005C5C16" w:rsidRPr="005C5C16" w:rsidRDefault="005C5C16" w:rsidP="000A77D4">
      <w:pPr>
        <w:pStyle w:val="Akapitzlist"/>
        <w:numPr>
          <w:ilvl w:val="0"/>
          <w:numId w:val="15"/>
        </w:numPr>
        <w:spacing w:after="183" w:line="360" w:lineRule="auto"/>
        <w:jc w:val="both"/>
        <w:rPr>
          <w:lang w:val="pl-PL"/>
        </w:rPr>
      </w:pPr>
      <w:r w:rsidRPr="005C5C16">
        <w:rPr>
          <w:lang w:val="pl-PL"/>
        </w:rPr>
        <w:t>zapewnienie przez okres trwania umowy Certyfikatów SSL dla poczty elektronicznej oraz strony internetowej Szpitala.</w:t>
      </w:r>
    </w:p>
    <w:p w14:paraId="6DF9F4F5" w14:textId="36602893" w:rsidR="003E3A36" w:rsidRPr="005C5C16" w:rsidRDefault="005C5C16" w:rsidP="000A77D4">
      <w:pPr>
        <w:pStyle w:val="Akapitzlist"/>
        <w:numPr>
          <w:ilvl w:val="0"/>
          <w:numId w:val="15"/>
        </w:numPr>
        <w:spacing w:before="120" w:after="80" w:line="360" w:lineRule="auto"/>
        <w:jc w:val="both"/>
        <w:rPr>
          <w:b/>
          <w:lang w:val="pl-PL"/>
        </w:rPr>
      </w:pPr>
      <w:r w:rsidRPr="005C5C16">
        <w:rPr>
          <w:lang w:val="pl-PL"/>
        </w:rPr>
        <w:lastRenderedPageBreak/>
        <w:t xml:space="preserve">łącze </w:t>
      </w:r>
      <w:r w:rsidR="00B952D4">
        <w:rPr>
          <w:lang w:val="pl-PL"/>
        </w:rPr>
        <w:t>zapasowe (b</w:t>
      </w:r>
      <w:r w:rsidRPr="005C5C16">
        <w:rPr>
          <w:lang w:val="pl-PL"/>
        </w:rPr>
        <w:t>ackupowe</w:t>
      </w:r>
      <w:r w:rsidR="00B952D4">
        <w:rPr>
          <w:lang w:val="pl-PL"/>
        </w:rPr>
        <w:t>)</w:t>
      </w:r>
      <w:r w:rsidRPr="005C5C16">
        <w:rPr>
          <w:lang w:val="pl-PL"/>
        </w:rPr>
        <w:t xml:space="preserve"> doprowadzone do budynku zamawiającego</w:t>
      </w:r>
      <w:r>
        <w:rPr>
          <w:lang w:val="pl-PL"/>
        </w:rPr>
        <w:t>,</w:t>
      </w:r>
      <w:r w:rsidRPr="005C5C16">
        <w:rPr>
          <w:lang w:val="pl-PL"/>
        </w:rPr>
        <w:t xml:space="preserve"> niezależne od infrastruktury </w:t>
      </w:r>
      <w:r w:rsidR="00B952D4">
        <w:rPr>
          <w:lang w:val="pl-PL"/>
        </w:rPr>
        <w:t>W</w:t>
      </w:r>
      <w:r w:rsidRPr="005C5C16">
        <w:rPr>
          <w:lang w:val="pl-PL"/>
        </w:rPr>
        <w:t>ykonawcy z publiczną adresacj</w:t>
      </w:r>
      <w:r w:rsidR="00B952D4">
        <w:rPr>
          <w:lang w:val="pl-PL"/>
        </w:rPr>
        <w:t>ą</w:t>
      </w:r>
      <w:r w:rsidRPr="005C5C16">
        <w:rPr>
          <w:lang w:val="pl-PL"/>
        </w:rPr>
        <w:t xml:space="preserve"> IP </w:t>
      </w:r>
      <w:r>
        <w:rPr>
          <w:lang w:val="pl-PL"/>
        </w:rPr>
        <w:t xml:space="preserve">o przepustowości </w:t>
      </w:r>
      <w:r w:rsidRPr="005C5C16">
        <w:rPr>
          <w:lang w:val="pl-PL"/>
        </w:rPr>
        <w:t>min</w:t>
      </w:r>
      <w:r>
        <w:rPr>
          <w:lang w:val="pl-PL"/>
        </w:rPr>
        <w:t>.</w:t>
      </w:r>
      <w:r w:rsidRPr="005C5C16">
        <w:rPr>
          <w:lang w:val="pl-PL"/>
        </w:rPr>
        <w:t xml:space="preserve"> </w:t>
      </w:r>
      <w:r w:rsidR="00357896">
        <w:rPr>
          <w:lang w:val="pl-PL"/>
        </w:rPr>
        <w:t>2</w:t>
      </w:r>
      <w:r w:rsidRPr="005C5C16">
        <w:rPr>
          <w:lang w:val="pl-PL"/>
        </w:rPr>
        <w:t>00 Mbps</w:t>
      </w:r>
      <w:r w:rsidR="00357896">
        <w:rPr>
          <w:lang w:val="pl-PL"/>
        </w:rPr>
        <w:t xml:space="preserve"> (usługa świadczona w okresie obowiązywania umowy 01.08.2026 – </w:t>
      </w:r>
      <w:r w:rsidR="00622075">
        <w:rPr>
          <w:lang w:val="pl-PL"/>
        </w:rPr>
        <w:t>01</w:t>
      </w:r>
      <w:r w:rsidR="00357896">
        <w:rPr>
          <w:lang w:val="pl-PL"/>
        </w:rPr>
        <w:t>.0</w:t>
      </w:r>
      <w:r w:rsidR="00622075">
        <w:rPr>
          <w:lang w:val="pl-PL"/>
        </w:rPr>
        <w:t>8</w:t>
      </w:r>
      <w:r w:rsidR="00357896">
        <w:rPr>
          <w:lang w:val="pl-PL"/>
        </w:rPr>
        <w:t>.2029).</w:t>
      </w:r>
    </w:p>
    <w:p w14:paraId="2E381A6A" w14:textId="77777777" w:rsidR="00E11F1D" w:rsidRPr="003E3A36" w:rsidRDefault="00BB7A8A">
      <w:pPr>
        <w:spacing w:before="200" w:after="80"/>
        <w:jc w:val="both"/>
        <w:rPr>
          <w:lang w:val="pl-PL"/>
        </w:rPr>
      </w:pPr>
      <w:r w:rsidRPr="003E3A36">
        <w:rPr>
          <w:b/>
          <w:color w:val="000000"/>
          <w:lang w:val="pl-PL"/>
        </w:rPr>
        <w:t>III. Specyfikacja asortymentowo-cenowa</w:t>
      </w:r>
    </w:p>
    <w:tbl>
      <w:tblPr>
        <w:tblStyle w:val="Tabela-Siatka"/>
        <w:tblW w:w="0" w:type="auto"/>
        <w:jc w:val="center"/>
        <w:tblLook w:val="04A0" w:firstRow="1" w:lastRow="0" w:firstColumn="1" w:lastColumn="0" w:noHBand="0" w:noVBand="1"/>
      </w:tblPr>
      <w:tblGrid>
        <w:gridCol w:w="567"/>
        <w:gridCol w:w="3685"/>
        <w:gridCol w:w="1417"/>
        <w:gridCol w:w="850"/>
        <w:gridCol w:w="1134"/>
        <w:gridCol w:w="1417"/>
      </w:tblGrid>
      <w:tr w:rsidR="00E11F1D" w:rsidRPr="003E3A36" w14:paraId="0DC288B4" w14:textId="77777777" w:rsidTr="00000559">
        <w:trPr>
          <w:trHeight w:val="665"/>
          <w:jc w:val="center"/>
        </w:trPr>
        <w:tc>
          <w:tcPr>
            <w:tcW w:w="567" w:type="dxa"/>
            <w:shd w:val="clear" w:color="auto" w:fill="D9D9D9"/>
            <w:vAlign w:val="center"/>
          </w:tcPr>
          <w:p w14:paraId="50CB3F5F" w14:textId="77777777" w:rsidR="00E11F1D" w:rsidRPr="003E3A36" w:rsidRDefault="00BB7A8A">
            <w:pPr>
              <w:spacing w:line="276" w:lineRule="auto"/>
              <w:jc w:val="center"/>
              <w:rPr>
                <w:lang w:val="pl-PL"/>
              </w:rPr>
            </w:pPr>
            <w:r w:rsidRPr="003E3A36">
              <w:rPr>
                <w:b/>
                <w:color w:val="000000"/>
                <w:lang w:val="pl-PL"/>
              </w:rPr>
              <w:t>Lp.</w:t>
            </w:r>
          </w:p>
        </w:tc>
        <w:tc>
          <w:tcPr>
            <w:tcW w:w="3685" w:type="dxa"/>
            <w:shd w:val="clear" w:color="auto" w:fill="D9D9D9"/>
            <w:vAlign w:val="center"/>
          </w:tcPr>
          <w:p w14:paraId="7597D706" w14:textId="77777777" w:rsidR="00E11F1D" w:rsidRPr="003E3A36" w:rsidRDefault="00BB7A8A">
            <w:pPr>
              <w:spacing w:line="276" w:lineRule="auto"/>
              <w:jc w:val="center"/>
              <w:rPr>
                <w:lang w:val="pl-PL"/>
              </w:rPr>
            </w:pPr>
            <w:r w:rsidRPr="003E3A36">
              <w:rPr>
                <w:b/>
                <w:color w:val="000000"/>
                <w:lang w:val="pl-PL"/>
              </w:rPr>
              <w:t>Przedmiot zamówienia</w:t>
            </w:r>
          </w:p>
        </w:tc>
        <w:tc>
          <w:tcPr>
            <w:tcW w:w="1417" w:type="dxa"/>
            <w:shd w:val="clear" w:color="auto" w:fill="D9D9D9"/>
            <w:vAlign w:val="center"/>
          </w:tcPr>
          <w:p w14:paraId="5250CB9D" w14:textId="77777777" w:rsidR="00E11F1D" w:rsidRPr="003E3A36" w:rsidRDefault="00BB7A8A">
            <w:pPr>
              <w:spacing w:line="276" w:lineRule="auto"/>
              <w:jc w:val="center"/>
              <w:rPr>
                <w:lang w:val="pl-PL"/>
              </w:rPr>
            </w:pPr>
            <w:r w:rsidRPr="003E3A36">
              <w:rPr>
                <w:b/>
                <w:color w:val="000000"/>
                <w:lang w:val="pl-PL"/>
              </w:rPr>
              <w:t>Cena netto miesięczna</w:t>
            </w:r>
          </w:p>
        </w:tc>
        <w:tc>
          <w:tcPr>
            <w:tcW w:w="850" w:type="dxa"/>
            <w:shd w:val="clear" w:color="auto" w:fill="D9D9D9"/>
            <w:vAlign w:val="center"/>
          </w:tcPr>
          <w:p w14:paraId="189D9570" w14:textId="77777777" w:rsidR="00E11F1D" w:rsidRPr="003E3A36" w:rsidRDefault="00BB7A8A">
            <w:pPr>
              <w:spacing w:line="276" w:lineRule="auto"/>
              <w:jc w:val="center"/>
              <w:rPr>
                <w:lang w:val="pl-PL"/>
              </w:rPr>
            </w:pPr>
            <w:r w:rsidRPr="003E3A36">
              <w:rPr>
                <w:b/>
                <w:color w:val="000000"/>
                <w:lang w:val="pl-PL"/>
              </w:rPr>
              <w:t>VAT %</w:t>
            </w:r>
          </w:p>
        </w:tc>
        <w:tc>
          <w:tcPr>
            <w:tcW w:w="1134" w:type="dxa"/>
            <w:shd w:val="clear" w:color="auto" w:fill="D9D9D9"/>
            <w:vAlign w:val="center"/>
          </w:tcPr>
          <w:p w14:paraId="2F5B9E59" w14:textId="77777777" w:rsidR="00E11F1D" w:rsidRPr="003E3A36" w:rsidRDefault="00BB7A8A">
            <w:pPr>
              <w:spacing w:line="276" w:lineRule="auto"/>
              <w:jc w:val="center"/>
              <w:rPr>
                <w:lang w:val="pl-PL"/>
              </w:rPr>
            </w:pPr>
            <w:r w:rsidRPr="003E3A36">
              <w:rPr>
                <w:b/>
                <w:color w:val="000000"/>
                <w:lang w:val="pl-PL"/>
              </w:rPr>
              <w:t>Wartość VAT (zł)</w:t>
            </w:r>
          </w:p>
        </w:tc>
        <w:tc>
          <w:tcPr>
            <w:tcW w:w="1417" w:type="dxa"/>
            <w:shd w:val="clear" w:color="auto" w:fill="D9D9D9"/>
            <w:vAlign w:val="center"/>
          </w:tcPr>
          <w:p w14:paraId="0AF5AB8A" w14:textId="77777777" w:rsidR="00E11F1D" w:rsidRPr="003E3A36" w:rsidRDefault="00BB7A8A">
            <w:pPr>
              <w:spacing w:line="276" w:lineRule="auto"/>
              <w:jc w:val="center"/>
              <w:rPr>
                <w:lang w:val="pl-PL"/>
              </w:rPr>
            </w:pPr>
            <w:r w:rsidRPr="003E3A36">
              <w:rPr>
                <w:b/>
                <w:color w:val="000000"/>
                <w:lang w:val="pl-PL"/>
              </w:rPr>
              <w:t>Cena brutto miesięczna</w:t>
            </w:r>
          </w:p>
        </w:tc>
      </w:tr>
      <w:tr w:rsidR="00E11F1D" w:rsidRPr="00622075" w14:paraId="3C817C71" w14:textId="77777777" w:rsidTr="00000559">
        <w:trPr>
          <w:trHeight w:val="677"/>
          <w:jc w:val="center"/>
        </w:trPr>
        <w:tc>
          <w:tcPr>
            <w:tcW w:w="567" w:type="dxa"/>
          </w:tcPr>
          <w:p w14:paraId="7B032460" w14:textId="77777777" w:rsidR="00E11F1D" w:rsidRPr="003E3A36" w:rsidRDefault="00E11F1D">
            <w:pPr>
              <w:rPr>
                <w:lang w:val="pl-PL"/>
              </w:rPr>
            </w:pPr>
          </w:p>
          <w:p w14:paraId="42975F8D" w14:textId="77777777" w:rsidR="00E11F1D" w:rsidRPr="003E3A36" w:rsidRDefault="00BB7A8A">
            <w:pPr>
              <w:spacing w:line="276" w:lineRule="auto"/>
              <w:jc w:val="center"/>
              <w:rPr>
                <w:lang w:val="pl-PL"/>
              </w:rPr>
            </w:pPr>
            <w:r w:rsidRPr="003E3A36">
              <w:rPr>
                <w:color w:val="000000"/>
                <w:lang w:val="pl-PL"/>
              </w:rPr>
              <w:t>1.</w:t>
            </w:r>
          </w:p>
        </w:tc>
        <w:tc>
          <w:tcPr>
            <w:tcW w:w="3685" w:type="dxa"/>
            <w:vAlign w:val="center"/>
          </w:tcPr>
          <w:p w14:paraId="6B3BCDC7" w14:textId="25271757" w:rsidR="00E11F1D" w:rsidRPr="003E3A36" w:rsidRDefault="005F728D">
            <w:pPr>
              <w:spacing w:line="276" w:lineRule="auto"/>
              <w:rPr>
                <w:lang w:val="pl-PL"/>
              </w:rPr>
            </w:pPr>
            <w:r>
              <w:rPr>
                <w:lang w:val="pl-PL"/>
              </w:rPr>
              <w:t>U</w:t>
            </w:r>
            <w:r w:rsidRPr="005F728D">
              <w:rPr>
                <w:lang w:val="pl-PL"/>
              </w:rPr>
              <w:t>sług</w:t>
            </w:r>
            <w:r>
              <w:rPr>
                <w:lang w:val="pl-PL"/>
              </w:rPr>
              <w:t>a</w:t>
            </w:r>
            <w:r w:rsidRPr="005F728D">
              <w:rPr>
                <w:lang w:val="pl-PL"/>
              </w:rPr>
              <w:t xml:space="preserve"> dostępu do sieci internetowej wraz z dodatkowymi usługami</w:t>
            </w:r>
          </w:p>
        </w:tc>
        <w:tc>
          <w:tcPr>
            <w:tcW w:w="1417" w:type="dxa"/>
          </w:tcPr>
          <w:p w14:paraId="70523936" w14:textId="77777777" w:rsidR="00E11F1D" w:rsidRPr="003E3A36" w:rsidRDefault="00E11F1D">
            <w:pPr>
              <w:rPr>
                <w:lang w:val="pl-PL"/>
              </w:rPr>
            </w:pPr>
          </w:p>
          <w:p w14:paraId="1D69B871" w14:textId="77777777" w:rsidR="00E11F1D" w:rsidRPr="003E3A36" w:rsidRDefault="00E11F1D">
            <w:pPr>
              <w:spacing w:line="276" w:lineRule="auto"/>
              <w:jc w:val="center"/>
              <w:rPr>
                <w:lang w:val="pl-PL"/>
              </w:rPr>
            </w:pPr>
          </w:p>
        </w:tc>
        <w:tc>
          <w:tcPr>
            <w:tcW w:w="850" w:type="dxa"/>
          </w:tcPr>
          <w:p w14:paraId="7BD58936" w14:textId="77777777" w:rsidR="00E11F1D" w:rsidRPr="003E3A36" w:rsidRDefault="00E11F1D">
            <w:pPr>
              <w:rPr>
                <w:lang w:val="pl-PL"/>
              </w:rPr>
            </w:pPr>
          </w:p>
          <w:p w14:paraId="49FDC55E" w14:textId="77777777" w:rsidR="00E11F1D" w:rsidRPr="003E3A36" w:rsidRDefault="00E11F1D">
            <w:pPr>
              <w:spacing w:line="276" w:lineRule="auto"/>
              <w:jc w:val="center"/>
              <w:rPr>
                <w:lang w:val="pl-PL"/>
              </w:rPr>
            </w:pPr>
          </w:p>
        </w:tc>
        <w:tc>
          <w:tcPr>
            <w:tcW w:w="1134" w:type="dxa"/>
          </w:tcPr>
          <w:p w14:paraId="27897E97" w14:textId="77777777" w:rsidR="00E11F1D" w:rsidRPr="003E3A36" w:rsidRDefault="00E11F1D">
            <w:pPr>
              <w:rPr>
                <w:lang w:val="pl-PL"/>
              </w:rPr>
            </w:pPr>
          </w:p>
          <w:p w14:paraId="60CA3FB8" w14:textId="77777777" w:rsidR="00E11F1D" w:rsidRPr="003E3A36" w:rsidRDefault="00E11F1D">
            <w:pPr>
              <w:spacing w:line="276" w:lineRule="auto"/>
              <w:jc w:val="center"/>
              <w:rPr>
                <w:lang w:val="pl-PL"/>
              </w:rPr>
            </w:pPr>
          </w:p>
        </w:tc>
        <w:tc>
          <w:tcPr>
            <w:tcW w:w="1417" w:type="dxa"/>
          </w:tcPr>
          <w:p w14:paraId="49FB6004" w14:textId="77777777" w:rsidR="00E11F1D" w:rsidRPr="003E3A36" w:rsidRDefault="00E11F1D">
            <w:pPr>
              <w:rPr>
                <w:lang w:val="pl-PL"/>
              </w:rPr>
            </w:pPr>
          </w:p>
          <w:p w14:paraId="4B9F620D" w14:textId="77777777" w:rsidR="00E11F1D" w:rsidRPr="003E3A36" w:rsidRDefault="00E11F1D">
            <w:pPr>
              <w:spacing w:line="276" w:lineRule="auto"/>
              <w:jc w:val="center"/>
              <w:rPr>
                <w:lang w:val="pl-PL"/>
              </w:rPr>
            </w:pPr>
          </w:p>
        </w:tc>
      </w:tr>
      <w:tr w:rsidR="00E11F1D" w:rsidRPr="003E3A36" w14:paraId="71E7DB09" w14:textId="77777777" w:rsidTr="00000559">
        <w:trPr>
          <w:jc w:val="center"/>
        </w:trPr>
        <w:tc>
          <w:tcPr>
            <w:tcW w:w="567" w:type="dxa"/>
          </w:tcPr>
          <w:p w14:paraId="4ABE0776" w14:textId="77777777" w:rsidR="00E11F1D" w:rsidRPr="003E3A36" w:rsidRDefault="00E11F1D">
            <w:pPr>
              <w:rPr>
                <w:lang w:val="pl-PL"/>
              </w:rPr>
            </w:pPr>
          </w:p>
          <w:p w14:paraId="77310BB0" w14:textId="77777777" w:rsidR="00E11F1D" w:rsidRPr="003E3A36" w:rsidRDefault="00E11F1D">
            <w:pPr>
              <w:spacing w:line="276" w:lineRule="auto"/>
              <w:rPr>
                <w:lang w:val="pl-PL"/>
              </w:rPr>
            </w:pPr>
          </w:p>
        </w:tc>
        <w:tc>
          <w:tcPr>
            <w:tcW w:w="3685" w:type="dxa"/>
            <w:vAlign w:val="center"/>
          </w:tcPr>
          <w:p w14:paraId="4C8664C3" w14:textId="77777777" w:rsidR="00E11F1D" w:rsidRPr="003E3A36" w:rsidRDefault="00BB7A8A">
            <w:pPr>
              <w:spacing w:line="276" w:lineRule="auto"/>
              <w:jc w:val="right"/>
              <w:rPr>
                <w:lang w:val="pl-PL"/>
              </w:rPr>
            </w:pPr>
            <w:r w:rsidRPr="003E3A36">
              <w:rPr>
                <w:b/>
                <w:color w:val="000000"/>
                <w:lang w:val="pl-PL"/>
              </w:rPr>
              <w:t>RAZEM (opłata miesięczna)</w:t>
            </w:r>
          </w:p>
        </w:tc>
        <w:tc>
          <w:tcPr>
            <w:tcW w:w="1417" w:type="dxa"/>
          </w:tcPr>
          <w:p w14:paraId="5AD4604F" w14:textId="77777777" w:rsidR="00E11F1D" w:rsidRPr="003E3A36" w:rsidRDefault="00E11F1D">
            <w:pPr>
              <w:rPr>
                <w:lang w:val="pl-PL"/>
              </w:rPr>
            </w:pPr>
          </w:p>
          <w:p w14:paraId="207F9DE1" w14:textId="77777777" w:rsidR="00E11F1D" w:rsidRPr="003E3A36" w:rsidRDefault="00E11F1D">
            <w:pPr>
              <w:spacing w:line="276" w:lineRule="auto"/>
              <w:jc w:val="center"/>
              <w:rPr>
                <w:lang w:val="pl-PL"/>
              </w:rPr>
            </w:pPr>
          </w:p>
        </w:tc>
        <w:tc>
          <w:tcPr>
            <w:tcW w:w="850" w:type="dxa"/>
          </w:tcPr>
          <w:p w14:paraId="5AD878C9" w14:textId="77777777" w:rsidR="00E11F1D" w:rsidRPr="003E3A36" w:rsidRDefault="00E11F1D">
            <w:pPr>
              <w:rPr>
                <w:lang w:val="pl-PL"/>
              </w:rPr>
            </w:pPr>
          </w:p>
          <w:p w14:paraId="3D9E8BC4" w14:textId="77777777" w:rsidR="00E11F1D" w:rsidRPr="003E3A36" w:rsidRDefault="00E11F1D">
            <w:pPr>
              <w:spacing w:line="276" w:lineRule="auto"/>
              <w:jc w:val="center"/>
              <w:rPr>
                <w:lang w:val="pl-PL"/>
              </w:rPr>
            </w:pPr>
          </w:p>
        </w:tc>
        <w:tc>
          <w:tcPr>
            <w:tcW w:w="1134" w:type="dxa"/>
          </w:tcPr>
          <w:p w14:paraId="0664A264" w14:textId="77777777" w:rsidR="00E11F1D" w:rsidRPr="003E3A36" w:rsidRDefault="00E11F1D">
            <w:pPr>
              <w:rPr>
                <w:lang w:val="pl-PL"/>
              </w:rPr>
            </w:pPr>
          </w:p>
          <w:p w14:paraId="5DB6950B" w14:textId="77777777" w:rsidR="00E11F1D" w:rsidRPr="003E3A36" w:rsidRDefault="00E11F1D">
            <w:pPr>
              <w:spacing w:line="276" w:lineRule="auto"/>
              <w:jc w:val="center"/>
              <w:rPr>
                <w:lang w:val="pl-PL"/>
              </w:rPr>
            </w:pPr>
          </w:p>
        </w:tc>
        <w:tc>
          <w:tcPr>
            <w:tcW w:w="1417" w:type="dxa"/>
          </w:tcPr>
          <w:p w14:paraId="4080A21C" w14:textId="77777777" w:rsidR="00E11F1D" w:rsidRPr="003E3A36" w:rsidRDefault="00E11F1D">
            <w:pPr>
              <w:rPr>
                <w:lang w:val="pl-PL"/>
              </w:rPr>
            </w:pPr>
          </w:p>
          <w:p w14:paraId="21D7E138" w14:textId="77777777" w:rsidR="00E11F1D" w:rsidRPr="003E3A36" w:rsidRDefault="00E11F1D">
            <w:pPr>
              <w:spacing w:line="276" w:lineRule="auto"/>
              <w:jc w:val="center"/>
              <w:rPr>
                <w:lang w:val="pl-PL"/>
              </w:rPr>
            </w:pPr>
          </w:p>
        </w:tc>
      </w:tr>
    </w:tbl>
    <w:p w14:paraId="66CAE33A" w14:textId="64BDA506" w:rsidR="00E11F1D" w:rsidRPr="005F728D" w:rsidRDefault="00BB7A8A">
      <w:pPr>
        <w:spacing w:before="160" w:after="120"/>
        <w:jc w:val="both"/>
        <w:rPr>
          <w:lang w:val="pl-PL"/>
        </w:rPr>
      </w:pPr>
      <w:r w:rsidRPr="005F728D">
        <w:rPr>
          <w:lang w:val="pl-PL"/>
        </w:rPr>
        <w:t>Wartość zamówienia stanowi iloczyn miesięcznej opłaty abonamentowej brutto oraz liczby miesięcy trwania umowy (</w:t>
      </w:r>
      <w:r w:rsidR="005F728D" w:rsidRPr="005F728D">
        <w:rPr>
          <w:lang w:val="pl-PL"/>
        </w:rPr>
        <w:t>36</w:t>
      </w:r>
      <w:r w:rsidRPr="005F728D">
        <w:rPr>
          <w:lang w:val="pl-PL"/>
        </w:rPr>
        <w:t xml:space="preserve"> miesięcy).</w:t>
      </w:r>
    </w:p>
    <w:p w14:paraId="107C04C3" w14:textId="77777777" w:rsidR="00E11F1D" w:rsidRPr="005F728D" w:rsidRDefault="00BB7A8A">
      <w:pPr>
        <w:spacing w:before="120" w:after="80"/>
        <w:jc w:val="both"/>
        <w:rPr>
          <w:lang w:val="pl-PL"/>
        </w:rPr>
      </w:pPr>
      <w:r w:rsidRPr="005F728D">
        <w:rPr>
          <w:b/>
          <w:lang w:val="pl-PL"/>
        </w:rPr>
        <w:t>IV. Wymagania dodatkowe</w:t>
      </w:r>
    </w:p>
    <w:p w14:paraId="00CF5468" w14:textId="3232483F" w:rsidR="00E11F1D" w:rsidRPr="005F728D" w:rsidRDefault="00BB7A8A">
      <w:pPr>
        <w:spacing w:after="80"/>
        <w:ind w:left="454" w:hanging="340"/>
        <w:jc w:val="both"/>
        <w:rPr>
          <w:lang w:val="pl-PL"/>
        </w:rPr>
      </w:pPr>
      <w:r w:rsidRPr="005F728D">
        <w:rPr>
          <w:lang w:val="pl-PL"/>
        </w:rPr>
        <w:t>1) Wykonawca zapewnia Gwarancję Dostępności Usług (SLA) na poziomie nie niższym niż 99,</w:t>
      </w:r>
      <w:r w:rsidR="005F728D" w:rsidRPr="005F728D">
        <w:rPr>
          <w:lang w:val="pl-PL"/>
        </w:rPr>
        <w:t>9</w:t>
      </w:r>
      <w:r w:rsidRPr="005F728D">
        <w:rPr>
          <w:lang w:val="pl-PL"/>
        </w:rPr>
        <w:t>% w skali miesiąca.</w:t>
      </w:r>
    </w:p>
    <w:p w14:paraId="2CE5C9A9" w14:textId="6EA7C70A" w:rsidR="00E11F1D" w:rsidRPr="005F728D" w:rsidRDefault="00BB7A8A">
      <w:pPr>
        <w:spacing w:after="80"/>
        <w:ind w:left="454" w:hanging="340"/>
        <w:jc w:val="both"/>
        <w:rPr>
          <w:lang w:val="pl-PL"/>
        </w:rPr>
      </w:pPr>
      <w:r w:rsidRPr="005F728D">
        <w:rPr>
          <w:lang w:val="pl-PL"/>
        </w:rPr>
        <w:t>2) Wykonawca zapewnia całodobowe zgłaszanie awarii (24/7)</w:t>
      </w:r>
      <w:r w:rsidR="005F728D" w:rsidRPr="005F728D">
        <w:rPr>
          <w:lang w:val="pl-PL"/>
        </w:rPr>
        <w:t xml:space="preserve">, </w:t>
      </w:r>
      <w:r w:rsidRPr="005F728D">
        <w:rPr>
          <w:lang w:val="pl-PL"/>
        </w:rPr>
        <w:t xml:space="preserve">telefonicznie </w:t>
      </w:r>
      <w:r w:rsidR="005F728D" w:rsidRPr="005F728D">
        <w:rPr>
          <w:lang w:val="pl-PL"/>
        </w:rPr>
        <w:t xml:space="preserve">wraz z </w:t>
      </w:r>
      <w:r w:rsidRPr="005F728D">
        <w:rPr>
          <w:lang w:val="pl-PL"/>
        </w:rPr>
        <w:t xml:space="preserve">potwierdzeniem </w:t>
      </w:r>
      <w:r w:rsidR="005F728D" w:rsidRPr="005F728D">
        <w:rPr>
          <w:lang w:val="pl-PL"/>
        </w:rPr>
        <w:t xml:space="preserve">zgłoszenia za pomocą </w:t>
      </w:r>
      <w:r w:rsidRPr="005F728D">
        <w:rPr>
          <w:lang w:val="pl-PL"/>
        </w:rPr>
        <w:t>poczt</w:t>
      </w:r>
      <w:r w:rsidR="005F728D" w:rsidRPr="005F728D">
        <w:rPr>
          <w:lang w:val="pl-PL"/>
        </w:rPr>
        <w:t>y</w:t>
      </w:r>
      <w:r w:rsidRPr="005F728D">
        <w:rPr>
          <w:lang w:val="pl-PL"/>
        </w:rPr>
        <w:t xml:space="preserve"> elektroniczn</w:t>
      </w:r>
      <w:r w:rsidR="005F728D" w:rsidRPr="005F728D">
        <w:rPr>
          <w:lang w:val="pl-PL"/>
        </w:rPr>
        <w:t>ej</w:t>
      </w:r>
      <w:r w:rsidRPr="005F728D">
        <w:rPr>
          <w:lang w:val="pl-PL"/>
        </w:rPr>
        <w:t>.</w:t>
      </w:r>
    </w:p>
    <w:p w14:paraId="067634DC" w14:textId="733C8F5D" w:rsidR="00E11F1D" w:rsidRPr="005F728D" w:rsidRDefault="00BB7A8A">
      <w:pPr>
        <w:spacing w:after="80"/>
        <w:ind w:left="454" w:hanging="340"/>
        <w:jc w:val="both"/>
        <w:rPr>
          <w:lang w:val="pl-PL"/>
        </w:rPr>
      </w:pPr>
      <w:r w:rsidRPr="005F728D">
        <w:rPr>
          <w:lang w:val="pl-PL"/>
        </w:rPr>
        <w:t>3) Gwarantowany czas reakcji na zgłoszenie awarii: nie dłuższy niż 2 godziny od chwili odebrania zgłoszenia przez Wykonawcę.</w:t>
      </w:r>
    </w:p>
    <w:p w14:paraId="7FD6A071" w14:textId="77777777" w:rsidR="00E11F1D" w:rsidRPr="001122FB" w:rsidRDefault="00BB7A8A">
      <w:pPr>
        <w:spacing w:after="80"/>
        <w:ind w:left="454" w:hanging="340"/>
        <w:jc w:val="both"/>
        <w:rPr>
          <w:lang w:val="pl-PL"/>
        </w:rPr>
      </w:pPr>
      <w:r w:rsidRPr="001122FB">
        <w:rPr>
          <w:lang w:val="pl-PL"/>
        </w:rPr>
        <w:t>4) Gwarantowany czas przywrócenia dostępności usługi w przypadku awarii krytycznej: nie dłuższy niż 4 godziny od chwili odebrania zgłoszenia.</w:t>
      </w:r>
    </w:p>
    <w:p w14:paraId="67D6004E" w14:textId="5599A15F" w:rsidR="00E11F1D" w:rsidRPr="001C4640" w:rsidRDefault="00BB7A8A">
      <w:pPr>
        <w:spacing w:after="80"/>
        <w:ind w:left="454" w:hanging="340"/>
        <w:jc w:val="both"/>
        <w:rPr>
          <w:lang w:val="pl-PL"/>
        </w:rPr>
      </w:pPr>
      <w:r w:rsidRPr="001C4640">
        <w:rPr>
          <w:lang w:val="pl-PL"/>
        </w:rPr>
        <w:t xml:space="preserve">5) Wykonawca zapewni migrację obecnie eksploatowanych zasobów strony internetowej Zamawiającego na infrastrukturę Wykonawcy, bez utraty danych i bez przerw w świadczeniu usług przekraczających 8 godzin w skali doby, w terminie do </w:t>
      </w:r>
      <w:r w:rsidR="000A77D4">
        <w:rPr>
          <w:lang w:val="pl-PL"/>
        </w:rPr>
        <w:t>24</w:t>
      </w:r>
      <w:r w:rsidRPr="001C4640">
        <w:rPr>
          <w:lang w:val="pl-PL"/>
        </w:rPr>
        <w:t xml:space="preserve"> </w:t>
      </w:r>
      <w:r w:rsidR="000A77D4">
        <w:rPr>
          <w:lang w:val="pl-PL"/>
        </w:rPr>
        <w:t>godz.</w:t>
      </w:r>
      <w:r w:rsidRPr="001C4640">
        <w:rPr>
          <w:lang w:val="pl-PL"/>
        </w:rPr>
        <w:t xml:space="preserve"> od dnia zawarcia umowy.</w:t>
      </w:r>
    </w:p>
    <w:p w14:paraId="1CCA6EA9" w14:textId="1DB83255" w:rsidR="00E11F1D" w:rsidRPr="006B3689" w:rsidRDefault="00BB7A8A">
      <w:pPr>
        <w:spacing w:after="80"/>
        <w:ind w:left="454" w:hanging="340"/>
        <w:jc w:val="both"/>
        <w:rPr>
          <w:lang w:val="pl-PL"/>
        </w:rPr>
      </w:pPr>
      <w:r w:rsidRPr="006B3689">
        <w:rPr>
          <w:lang w:val="pl-PL"/>
        </w:rPr>
        <w:t xml:space="preserve">7) Wykonawca zapewnia zgodność świadczonych usług z przepisami RODO oraz podpisze z Zamawiającym umowę powierzenia przetwarzania danych osobowych stanowiącą załącznik </w:t>
      </w:r>
      <w:r w:rsidR="006B3689" w:rsidRPr="006B3689">
        <w:rPr>
          <w:lang w:val="pl-PL"/>
        </w:rPr>
        <w:t>do umowy głównej</w:t>
      </w:r>
      <w:r w:rsidRPr="006B3689">
        <w:rPr>
          <w:lang w:val="pl-PL"/>
        </w:rPr>
        <w:t>.</w:t>
      </w:r>
    </w:p>
    <w:p w14:paraId="6EF208D3" w14:textId="2D121A90" w:rsidR="00E11F1D" w:rsidRPr="006B3689" w:rsidRDefault="00BB7A8A">
      <w:pPr>
        <w:keepNext/>
        <w:spacing w:before="200" w:after="80"/>
        <w:rPr>
          <w:lang w:val="pl-PL"/>
        </w:rPr>
      </w:pPr>
      <w:r w:rsidRPr="006B3689">
        <w:rPr>
          <w:b/>
          <w:lang w:val="pl-PL"/>
        </w:rPr>
        <w:t>V. Oświadczenie wykonawcy w zakresie cyberbezpieczeństwa</w:t>
      </w:r>
    </w:p>
    <w:p w14:paraId="56496C1B" w14:textId="77777777" w:rsidR="00E11F1D" w:rsidRPr="006B3689" w:rsidRDefault="00BB7A8A">
      <w:pPr>
        <w:spacing w:before="80" w:after="80"/>
        <w:jc w:val="both"/>
        <w:rPr>
          <w:lang w:val="pl-PL"/>
        </w:rPr>
      </w:pPr>
      <w:r w:rsidRPr="006B3689">
        <w:rPr>
          <w:lang w:val="pl-PL"/>
        </w:rPr>
        <w:t>Wykonawca obowiązany jest złożyć oświadczenie, że oferta w zakresie produktów ICT, usług ICT i procesów ICT nie obejmuje:</w:t>
      </w:r>
    </w:p>
    <w:p w14:paraId="59C51F8C" w14:textId="77777777" w:rsidR="00E11F1D" w:rsidRPr="006B3689" w:rsidRDefault="00BB7A8A">
      <w:pPr>
        <w:spacing w:before="80" w:after="80"/>
        <w:ind w:left="567" w:hanging="283"/>
        <w:jc w:val="both"/>
        <w:rPr>
          <w:lang w:val="pl-PL"/>
        </w:rPr>
      </w:pPr>
      <w:r w:rsidRPr="006B3689">
        <w:rPr>
          <w:lang w:val="pl-PL"/>
        </w:rPr>
        <w:t>– produktów ICT, usług ICT ani procesów ICT wskazanych w rekomendacji, o której mowa w art. 33 ust. 4 u.k.s.c., stwierdzającej ich negatywny wpływ na podstawowy interes bezpieczeństwa państwa,</w:t>
      </w:r>
    </w:p>
    <w:p w14:paraId="7A583298" w14:textId="77777777" w:rsidR="00E11F1D" w:rsidRPr="006B3689" w:rsidRDefault="00BB7A8A">
      <w:pPr>
        <w:spacing w:before="80" w:after="80"/>
        <w:ind w:left="567" w:hanging="283"/>
        <w:jc w:val="both"/>
        <w:rPr>
          <w:lang w:val="pl-PL"/>
        </w:rPr>
      </w:pPr>
      <w:r w:rsidRPr="006B3689">
        <w:rPr>
          <w:lang w:val="pl-PL"/>
        </w:rPr>
        <w:t>– produktu ICT, którego typ został określony w decyzji w sprawie uznania dostawcy za dostawcę wysokiego ryzyka, ani usługi ICT lub procesu ICT określonych w tej decyzji.</w:t>
      </w:r>
    </w:p>
    <w:p w14:paraId="2499F146" w14:textId="77777777" w:rsidR="00E11F1D" w:rsidRPr="006B3689" w:rsidRDefault="00BB7A8A">
      <w:pPr>
        <w:spacing w:before="80" w:after="80"/>
        <w:jc w:val="both"/>
        <w:rPr>
          <w:lang w:val="pl-PL"/>
        </w:rPr>
      </w:pPr>
      <w:r w:rsidRPr="006B3689">
        <w:rPr>
          <w:i/>
          <w:lang w:val="pl-PL"/>
        </w:rPr>
        <w:t>Informacja: rekomendacje oraz decyzje dotyczące dostawców wysokiego ryzyka wydawane są przez właściwe organy administracji publicznej na podstawie u.k.s.c. Bieżący wykaz rekomendowanych produktów ICT oraz dostawców wysokiego ryzyka dostępny jest na stronach właściwych organów.</w:t>
      </w:r>
    </w:p>
    <w:p w14:paraId="40C9CE3D" w14:textId="77777777" w:rsidR="00E11F1D" w:rsidRPr="006B3689" w:rsidRDefault="00E11F1D">
      <w:pPr>
        <w:spacing w:before="400" w:after="0"/>
        <w:jc w:val="both"/>
        <w:rPr>
          <w:lang w:val="pl-PL"/>
        </w:rPr>
      </w:pPr>
    </w:p>
    <w:p w14:paraId="18F9E2C3" w14:textId="77777777" w:rsidR="00E11F1D" w:rsidRPr="006B3689" w:rsidRDefault="00BB7A8A">
      <w:pPr>
        <w:spacing w:after="40"/>
        <w:jc w:val="right"/>
        <w:rPr>
          <w:lang w:val="pl-PL"/>
        </w:rPr>
      </w:pPr>
      <w:r w:rsidRPr="006B3689">
        <w:rPr>
          <w:lang w:val="pl-PL"/>
        </w:rPr>
        <w:t>……………………………………………………………………………</w:t>
      </w:r>
    </w:p>
    <w:p w14:paraId="457D1C32" w14:textId="77777777" w:rsidR="00E11F1D" w:rsidRPr="006B3689" w:rsidRDefault="00BB7A8A">
      <w:pPr>
        <w:spacing w:after="0"/>
        <w:jc w:val="right"/>
        <w:rPr>
          <w:lang w:val="pl-PL"/>
        </w:rPr>
      </w:pPr>
      <w:r w:rsidRPr="006B3689">
        <w:rPr>
          <w:sz w:val="18"/>
          <w:lang w:val="pl-PL"/>
        </w:rPr>
        <w:t>pieczątka i podpis osoby uprawnionej do składania oświadczeń woli w imieniu Wykonawcy</w:t>
      </w:r>
    </w:p>
    <w:sectPr w:rsidR="00E11F1D" w:rsidRPr="006B3689" w:rsidSect="00034616">
      <w:pgSz w:w="11906" w:h="16838"/>
      <w:pgMar w:top="1134" w:right="1134"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pt;height:5.4pt;visibility:visible;mso-wrap-style:square" o:bullet="t">
        <v:imagedata r:id="rId1" o:title=""/>
      </v:shape>
    </w:pic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01D31F47"/>
    <w:multiLevelType w:val="hybridMultilevel"/>
    <w:tmpl w:val="464ADB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2010AE2"/>
    <w:multiLevelType w:val="hybridMultilevel"/>
    <w:tmpl w:val="A136395A"/>
    <w:lvl w:ilvl="0" w:tplc="0415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55373F9"/>
    <w:multiLevelType w:val="hybridMultilevel"/>
    <w:tmpl w:val="ED882C0A"/>
    <w:lvl w:ilvl="0" w:tplc="0B3EB262">
      <w:start w:val="1"/>
      <w:numFmt w:val="bullet"/>
      <w:lvlText w:val=""/>
      <w:lvlPicBulletId w:val="0"/>
      <w:lvlJc w:val="left"/>
      <w:pPr>
        <w:tabs>
          <w:tab w:val="num" w:pos="720"/>
        </w:tabs>
        <w:ind w:left="720" w:hanging="360"/>
      </w:pPr>
      <w:rPr>
        <w:rFonts w:ascii="Symbol" w:hAnsi="Symbol" w:hint="default"/>
      </w:rPr>
    </w:lvl>
    <w:lvl w:ilvl="1" w:tplc="C8ACFDEE" w:tentative="1">
      <w:start w:val="1"/>
      <w:numFmt w:val="bullet"/>
      <w:lvlText w:val=""/>
      <w:lvlJc w:val="left"/>
      <w:pPr>
        <w:tabs>
          <w:tab w:val="num" w:pos="1440"/>
        </w:tabs>
        <w:ind w:left="1440" w:hanging="360"/>
      </w:pPr>
      <w:rPr>
        <w:rFonts w:ascii="Symbol" w:hAnsi="Symbol" w:hint="default"/>
      </w:rPr>
    </w:lvl>
    <w:lvl w:ilvl="2" w:tplc="3496E8CE" w:tentative="1">
      <w:start w:val="1"/>
      <w:numFmt w:val="bullet"/>
      <w:lvlText w:val=""/>
      <w:lvlJc w:val="left"/>
      <w:pPr>
        <w:tabs>
          <w:tab w:val="num" w:pos="2160"/>
        </w:tabs>
        <w:ind w:left="2160" w:hanging="360"/>
      </w:pPr>
      <w:rPr>
        <w:rFonts w:ascii="Symbol" w:hAnsi="Symbol" w:hint="default"/>
      </w:rPr>
    </w:lvl>
    <w:lvl w:ilvl="3" w:tplc="E7B46644" w:tentative="1">
      <w:start w:val="1"/>
      <w:numFmt w:val="bullet"/>
      <w:lvlText w:val=""/>
      <w:lvlJc w:val="left"/>
      <w:pPr>
        <w:tabs>
          <w:tab w:val="num" w:pos="2880"/>
        </w:tabs>
        <w:ind w:left="2880" w:hanging="360"/>
      </w:pPr>
      <w:rPr>
        <w:rFonts w:ascii="Symbol" w:hAnsi="Symbol" w:hint="default"/>
      </w:rPr>
    </w:lvl>
    <w:lvl w:ilvl="4" w:tplc="93E07A16" w:tentative="1">
      <w:start w:val="1"/>
      <w:numFmt w:val="bullet"/>
      <w:lvlText w:val=""/>
      <w:lvlJc w:val="left"/>
      <w:pPr>
        <w:tabs>
          <w:tab w:val="num" w:pos="3600"/>
        </w:tabs>
        <w:ind w:left="3600" w:hanging="360"/>
      </w:pPr>
      <w:rPr>
        <w:rFonts w:ascii="Symbol" w:hAnsi="Symbol" w:hint="default"/>
      </w:rPr>
    </w:lvl>
    <w:lvl w:ilvl="5" w:tplc="0450F19A" w:tentative="1">
      <w:start w:val="1"/>
      <w:numFmt w:val="bullet"/>
      <w:lvlText w:val=""/>
      <w:lvlJc w:val="left"/>
      <w:pPr>
        <w:tabs>
          <w:tab w:val="num" w:pos="4320"/>
        </w:tabs>
        <w:ind w:left="4320" w:hanging="360"/>
      </w:pPr>
      <w:rPr>
        <w:rFonts w:ascii="Symbol" w:hAnsi="Symbol" w:hint="default"/>
      </w:rPr>
    </w:lvl>
    <w:lvl w:ilvl="6" w:tplc="649AC5F2" w:tentative="1">
      <w:start w:val="1"/>
      <w:numFmt w:val="bullet"/>
      <w:lvlText w:val=""/>
      <w:lvlJc w:val="left"/>
      <w:pPr>
        <w:tabs>
          <w:tab w:val="num" w:pos="5040"/>
        </w:tabs>
        <w:ind w:left="5040" w:hanging="360"/>
      </w:pPr>
      <w:rPr>
        <w:rFonts w:ascii="Symbol" w:hAnsi="Symbol" w:hint="default"/>
      </w:rPr>
    </w:lvl>
    <w:lvl w:ilvl="7" w:tplc="576C4BF8" w:tentative="1">
      <w:start w:val="1"/>
      <w:numFmt w:val="bullet"/>
      <w:lvlText w:val=""/>
      <w:lvlJc w:val="left"/>
      <w:pPr>
        <w:tabs>
          <w:tab w:val="num" w:pos="5760"/>
        </w:tabs>
        <w:ind w:left="5760" w:hanging="360"/>
      </w:pPr>
      <w:rPr>
        <w:rFonts w:ascii="Symbol" w:hAnsi="Symbol" w:hint="default"/>
      </w:rPr>
    </w:lvl>
    <w:lvl w:ilvl="8" w:tplc="EFE861F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FE76FBD"/>
    <w:multiLevelType w:val="hybridMultilevel"/>
    <w:tmpl w:val="C7045C62"/>
    <w:lvl w:ilvl="0" w:tplc="0B3EB262">
      <w:start w:val="1"/>
      <w:numFmt w:val="bullet"/>
      <w:lvlText w:val=""/>
      <w:lvlPicBulletId w:val="0"/>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C1D568E"/>
    <w:multiLevelType w:val="hybridMultilevel"/>
    <w:tmpl w:val="B3122EF6"/>
    <w:lvl w:ilvl="0" w:tplc="1D221D8C">
      <w:start w:val="1"/>
      <w:numFmt w:val="bullet"/>
      <w:lvlText w:val="-"/>
      <w:lvlJc w:val="left"/>
      <w:pPr>
        <w:ind w:left="1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B54793A">
      <w:start w:val="1"/>
      <w:numFmt w:val="bullet"/>
      <w:lvlText w:val="o"/>
      <w:lvlJc w:val="left"/>
      <w:pPr>
        <w:ind w:left="11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CD6E450">
      <w:start w:val="1"/>
      <w:numFmt w:val="bullet"/>
      <w:lvlText w:val="▪"/>
      <w:lvlJc w:val="left"/>
      <w:pPr>
        <w:ind w:left="18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F1A04BA">
      <w:start w:val="1"/>
      <w:numFmt w:val="bullet"/>
      <w:lvlText w:val="•"/>
      <w:lvlJc w:val="left"/>
      <w:pPr>
        <w:ind w:left="25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770154A">
      <w:start w:val="1"/>
      <w:numFmt w:val="bullet"/>
      <w:lvlText w:val="o"/>
      <w:lvlJc w:val="left"/>
      <w:pPr>
        <w:ind w:left="32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6862D1A">
      <w:start w:val="1"/>
      <w:numFmt w:val="bullet"/>
      <w:lvlText w:val="▪"/>
      <w:lvlJc w:val="left"/>
      <w:pPr>
        <w:ind w:left="39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7CA98EA">
      <w:start w:val="1"/>
      <w:numFmt w:val="bullet"/>
      <w:lvlText w:val="•"/>
      <w:lvlJc w:val="left"/>
      <w:pPr>
        <w:ind w:left="47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79ABA1E">
      <w:start w:val="1"/>
      <w:numFmt w:val="bullet"/>
      <w:lvlText w:val="o"/>
      <w:lvlJc w:val="left"/>
      <w:pPr>
        <w:ind w:left="54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B6605DE">
      <w:start w:val="1"/>
      <w:numFmt w:val="bullet"/>
      <w:lvlText w:val="▪"/>
      <w:lvlJc w:val="left"/>
      <w:pPr>
        <w:ind w:left="61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6782243"/>
    <w:multiLevelType w:val="hybridMultilevel"/>
    <w:tmpl w:val="BE3459E6"/>
    <w:lvl w:ilvl="0" w:tplc="27FEA222">
      <w:start w:val="1"/>
      <w:numFmt w:val="bullet"/>
      <w:lvlText w:val="-"/>
      <w:lvlJc w:val="left"/>
      <w:pPr>
        <w:ind w:left="1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7241332">
      <w:start w:val="1"/>
      <w:numFmt w:val="bullet"/>
      <w:lvlText w:val="o"/>
      <w:lvlJc w:val="left"/>
      <w:pPr>
        <w:ind w:left="1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2B81870">
      <w:start w:val="1"/>
      <w:numFmt w:val="bullet"/>
      <w:lvlText w:val="▪"/>
      <w:lvlJc w:val="left"/>
      <w:pPr>
        <w:ind w:left="1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002B8BA">
      <w:start w:val="1"/>
      <w:numFmt w:val="bullet"/>
      <w:lvlText w:val="•"/>
      <w:lvlJc w:val="left"/>
      <w:pPr>
        <w:ind w:left="2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9FCFC3C">
      <w:start w:val="1"/>
      <w:numFmt w:val="bullet"/>
      <w:lvlText w:val="o"/>
      <w:lvlJc w:val="left"/>
      <w:pPr>
        <w:ind w:left="3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40042E6">
      <w:start w:val="1"/>
      <w:numFmt w:val="bullet"/>
      <w:lvlText w:val="▪"/>
      <w:lvlJc w:val="left"/>
      <w:pPr>
        <w:ind w:left="39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BBC7B00">
      <w:start w:val="1"/>
      <w:numFmt w:val="bullet"/>
      <w:lvlText w:val="•"/>
      <w:lvlJc w:val="left"/>
      <w:pPr>
        <w:ind w:left="46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DE8692E">
      <w:start w:val="1"/>
      <w:numFmt w:val="bullet"/>
      <w:lvlText w:val="o"/>
      <w:lvlJc w:val="left"/>
      <w:pPr>
        <w:ind w:left="54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B82452A">
      <w:start w:val="1"/>
      <w:numFmt w:val="bullet"/>
      <w:lvlText w:val="▪"/>
      <w:lvlJc w:val="left"/>
      <w:pPr>
        <w:ind w:left="6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037200979">
    <w:abstractNumId w:val="8"/>
  </w:num>
  <w:num w:numId="2" w16cid:durableId="298075745">
    <w:abstractNumId w:val="6"/>
  </w:num>
  <w:num w:numId="3" w16cid:durableId="1756433327">
    <w:abstractNumId w:val="5"/>
  </w:num>
  <w:num w:numId="4" w16cid:durableId="74741354">
    <w:abstractNumId w:val="4"/>
  </w:num>
  <w:num w:numId="5" w16cid:durableId="986013705">
    <w:abstractNumId w:val="7"/>
  </w:num>
  <w:num w:numId="6" w16cid:durableId="16660584">
    <w:abstractNumId w:val="3"/>
  </w:num>
  <w:num w:numId="7" w16cid:durableId="2010255431">
    <w:abstractNumId w:val="2"/>
  </w:num>
  <w:num w:numId="8" w16cid:durableId="1650868544">
    <w:abstractNumId w:val="1"/>
  </w:num>
  <w:num w:numId="9" w16cid:durableId="1893539140">
    <w:abstractNumId w:val="0"/>
  </w:num>
  <w:num w:numId="10" w16cid:durableId="1925145463">
    <w:abstractNumId w:val="14"/>
  </w:num>
  <w:num w:numId="11" w16cid:durableId="484707043">
    <w:abstractNumId w:val="13"/>
  </w:num>
  <w:num w:numId="12" w16cid:durableId="1624189530">
    <w:abstractNumId w:val="11"/>
  </w:num>
  <w:num w:numId="13" w16cid:durableId="442041965">
    <w:abstractNumId w:val="12"/>
  </w:num>
  <w:num w:numId="14" w16cid:durableId="775442382">
    <w:abstractNumId w:val="10"/>
  </w:num>
  <w:num w:numId="15" w16cid:durableId="20166904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559"/>
    <w:rsid w:val="00034616"/>
    <w:rsid w:val="0006063C"/>
    <w:rsid w:val="000A77D4"/>
    <w:rsid w:val="001122FB"/>
    <w:rsid w:val="0015074B"/>
    <w:rsid w:val="001C4640"/>
    <w:rsid w:val="0029639D"/>
    <w:rsid w:val="00326F90"/>
    <w:rsid w:val="00352197"/>
    <w:rsid w:val="00357896"/>
    <w:rsid w:val="003A19D5"/>
    <w:rsid w:val="003E3A36"/>
    <w:rsid w:val="00497C1A"/>
    <w:rsid w:val="005C5C16"/>
    <w:rsid w:val="005F728D"/>
    <w:rsid w:val="00622075"/>
    <w:rsid w:val="006943A2"/>
    <w:rsid w:val="00694F94"/>
    <w:rsid w:val="006B3689"/>
    <w:rsid w:val="008F15B9"/>
    <w:rsid w:val="00977060"/>
    <w:rsid w:val="00AA1D8D"/>
    <w:rsid w:val="00B47730"/>
    <w:rsid w:val="00B952D4"/>
    <w:rsid w:val="00BB7A8A"/>
    <w:rsid w:val="00CB0664"/>
    <w:rsid w:val="00D100C3"/>
    <w:rsid w:val="00E11F1D"/>
    <w:rsid w:val="00E51A0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099572"/>
  <w14:defaultImageDpi w14:val="300"/>
  <w15:docId w15:val="{0806A8EF-3297-47B8-A141-9A90F62B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rPr>
      <w:rFonts w:ascii="Times New Roman" w:hAnsi="Times New Roman" w:cs="Times New Roman"/>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3770</Characters>
  <Application>Microsoft Office Word</Application>
  <DocSecurity>0</DocSecurity>
  <Lines>31</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Łukasz Grüner</cp:lastModifiedBy>
  <cp:revision>3</cp:revision>
  <dcterms:created xsi:type="dcterms:W3CDTF">2026-07-21T10:07:00Z</dcterms:created>
  <dcterms:modified xsi:type="dcterms:W3CDTF">2026-07-22T07:41:00Z</dcterms:modified>
  <cp:category/>
</cp:coreProperties>
</file>