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D9C6B" w14:textId="77777777" w:rsidR="00963A02" w:rsidRDefault="00481CD5">
      <w:pPr>
        <w:spacing w:before="120" w:after="60"/>
        <w:jc w:val="center"/>
      </w:pPr>
      <w:r>
        <w:rPr>
          <w:b/>
          <w:bCs/>
          <w:sz w:val="26"/>
          <w:szCs w:val="26"/>
        </w:rPr>
        <w:t>OPIS PRZEDMIOTU ZAMÓWIENIA</w:t>
      </w:r>
    </w:p>
    <w:p w14:paraId="70B69C32" w14:textId="0D838B3B" w:rsidR="00963A02" w:rsidRDefault="00481CD5">
      <w:pPr>
        <w:spacing w:after="200"/>
        <w:jc w:val="center"/>
      </w:pPr>
      <w:r>
        <w:rPr>
          <w:b/>
          <w:bCs/>
        </w:rPr>
        <w:t>Pilotażowe udostępnienie systemu chirurgii robotycznej — dzierżawa systemu (60 dni) wraz z opłatą za użycie narzędzi i materiałów do wykonania do 30 zabiegów urologicznych</w:t>
      </w:r>
    </w:p>
    <w:p w14:paraId="28931683" w14:textId="77777777" w:rsidR="00963A02" w:rsidRDefault="00481CD5">
      <w:pPr>
        <w:keepNext/>
        <w:spacing w:before="220" w:after="120"/>
      </w:pPr>
      <w:r>
        <w:rPr>
          <w:b/>
          <w:bCs/>
        </w:rPr>
        <w:t>Rozdział I. Przedmiot zamówienia i warunki realizacji</w:t>
      </w:r>
    </w:p>
    <w:p w14:paraId="10D7282D" w14:textId="77777777" w:rsidR="00DC4925" w:rsidRDefault="00481CD5" w:rsidP="00DC4925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 xml:space="preserve">Przedmiotem zamówienia jest pilotażowe udostępnienie kompletnego systemu chirurgii robotycznej, obejmujące: </w:t>
      </w:r>
    </w:p>
    <w:p w14:paraId="35C0A237" w14:textId="77777777" w:rsidR="00DC4925" w:rsidRDefault="00481CD5" w:rsidP="00DC4925">
      <w:pPr>
        <w:pStyle w:val="Akapitzlist"/>
        <w:numPr>
          <w:ilvl w:val="0"/>
          <w:numId w:val="4"/>
        </w:numPr>
        <w:spacing w:after="80" w:line="276" w:lineRule="auto"/>
        <w:jc w:val="both"/>
      </w:pPr>
      <w:r>
        <w:t xml:space="preserve">dzierżawę systemu przez okres 60 dni oraz </w:t>
      </w:r>
    </w:p>
    <w:p w14:paraId="2DD36C18" w14:textId="0016C07B" w:rsidR="00963A02" w:rsidRDefault="00481CD5" w:rsidP="00DC4925">
      <w:pPr>
        <w:pStyle w:val="Akapitzlist"/>
        <w:numPr>
          <w:ilvl w:val="0"/>
          <w:numId w:val="4"/>
        </w:numPr>
        <w:spacing w:after="80" w:line="276" w:lineRule="auto"/>
        <w:jc w:val="both"/>
      </w:pPr>
      <w:r>
        <w:t>zapewnienie kompletów narzędzi i materiałów do wykonania maksymalnie 30 zabiegów urologicznych, rozliczanych opłatą za użycie wyłącznie za zabiegi faktycznie wykonane. Miejsce realizacji: Zespół Bloków Operacyjnych Szpitala, ul. Prądnicka 35-37, 31-202 Kraków.</w:t>
      </w:r>
    </w:p>
    <w:p w14:paraId="22E699A8" w14:textId="2A3730EB" w:rsidR="00963A02" w:rsidRDefault="00481CD5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Rodzaje zabiegów: prostatektomia radykalna, nefrektomia (lub NSS), cystektomia. Strukturę rodzajową zabiegów (liczbę zabiegów każdego rodzaju) Zamawiający ustala samodzielnie w toku realizacji umowy i może ją zmieniać bez wpływu na ceny jednostkowe; Wykonawca zapewnia gotowość do każdego rodzaju zabiegu. Zabiegi wykonuje wyłącznie personel Zamawiającego. Jeżeli w okresie dzierżawy nie zostanie wykonanych 30 zabiegów, Zamawiający zapłaci wyłącznie za zabiegi faktycznie wykonane albo jednostronnie przedłuży okres dzierżawy o nie więcej niż 14 dni — bez dodatkowego czynszu i dodatkowych opłat z tytułu dzierżawy.</w:t>
      </w:r>
    </w:p>
    <w:p w14:paraId="03A179B5" w14:textId="4D1E7C9B" w:rsidR="00963A02" w:rsidRDefault="00481CD5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Planowane zabiegi (rodzaj i termin) będą zgłaszane Wykonawcy z wyprzedzeniem co najmniej 3 dni roboczych; kompletny i zdatny do użycia komplet zabiegowy właściwego rodzaju musi być dostępny najpóźniej na 1 dzień roboczy przed zaplanowanym zabiegiem (z uwzględnieniem czasu przygotowania — mycia, dezynfekcji i sterylizacji — narzędzi wielorazowych).</w:t>
      </w:r>
    </w:p>
    <w:p w14:paraId="64C6C6A7" w14:textId="77777777" w:rsidR="00963A02" w:rsidRDefault="00481CD5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Czynsz dzierżawny ma charakter ryczałtowy i obejmuje w szczególności:</w:t>
      </w:r>
    </w:p>
    <w:p w14:paraId="38BFF3D2" w14:textId="77777777" w:rsidR="00963A02" w:rsidRDefault="00481CD5">
      <w:pPr>
        <w:pStyle w:val="Akapitzlist"/>
        <w:numPr>
          <w:ilvl w:val="0"/>
          <w:numId w:val="3"/>
        </w:numPr>
        <w:spacing w:after="60" w:line="276" w:lineRule="auto"/>
        <w:jc w:val="both"/>
      </w:pPr>
      <w:r>
        <w:t>transport, wniesienie (z wykorzystaniem drogi transportu wskazanej przez Zamawiającego), instalację, uruchomienie i konfigurację systemu,</w:t>
      </w:r>
    </w:p>
    <w:p w14:paraId="36F9A27F" w14:textId="77777777" w:rsidR="00963A02" w:rsidRDefault="00481CD5">
      <w:pPr>
        <w:pStyle w:val="Akapitzlist"/>
        <w:numPr>
          <w:ilvl w:val="0"/>
          <w:numId w:val="3"/>
        </w:numPr>
        <w:spacing w:after="60" w:line="276" w:lineRule="auto"/>
        <w:jc w:val="both"/>
      </w:pPr>
      <w:r>
        <w:t>szkolenie i certyfikację 2 operatorów w ośrodku szkoleniowym producenta (wraz z kosztami szkolenia, certyfikacji, podróży i zakwaterowania), zakończone przed dostawą systemu,</w:t>
      </w:r>
    </w:p>
    <w:p w14:paraId="21DBA87F" w14:textId="77777777" w:rsidR="00963A02" w:rsidRDefault="00481CD5">
      <w:pPr>
        <w:pStyle w:val="Akapitzlist"/>
        <w:numPr>
          <w:ilvl w:val="0"/>
          <w:numId w:val="3"/>
        </w:numPr>
        <w:spacing w:after="60" w:line="276" w:lineRule="auto"/>
        <w:jc w:val="both"/>
      </w:pPr>
      <w:r>
        <w:t>szkolenia stanowiskowe instrumentariuszek oraz personelu Centralnej Sterylizatorni,</w:t>
      </w:r>
    </w:p>
    <w:p w14:paraId="02DBD91F" w14:textId="77777777" w:rsidR="00963A02" w:rsidRDefault="00481CD5">
      <w:pPr>
        <w:pStyle w:val="Akapitzlist"/>
        <w:numPr>
          <w:ilvl w:val="0"/>
          <w:numId w:val="3"/>
        </w:numPr>
        <w:spacing w:after="60" w:line="276" w:lineRule="auto"/>
        <w:jc w:val="both"/>
      </w:pPr>
      <w:r>
        <w:t>proctoring kliniczny przy pierwszych 4 zabiegach,</w:t>
      </w:r>
    </w:p>
    <w:p w14:paraId="47252A97" w14:textId="77777777" w:rsidR="00963A02" w:rsidRDefault="00481CD5">
      <w:pPr>
        <w:pStyle w:val="Akapitzlist"/>
        <w:numPr>
          <w:ilvl w:val="0"/>
          <w:numId w:val="3"/>
        </w:numPr>
        <w:spacing w:after="60" w:line="276" w:lineRule="auto"/>
        <w:jc w:val="both"/>
      </w:pPr>
      <w:r>
        <w:t>obecność inżyniera aplikacyjnego przy pierwszych 12 zabiegach oraz wsparcie zdalne przez cały okres umowy,</w:t>
      </w:r>
    </w:p>
    <w:p w14:paraId="77DFC2C3" w14:textId="77777777" w:rsidR="00963A02" w:rsidRDefault="00481CD5">
      <w:pPr>
        <w:pStyle w:val="Akapitzlist"/>
        <w:numPr>
          <w:ilvl w:val="0"/>
          <w:numId w:val="3"/>
        </w:numPr>
        <w:spacing w:after="60" w:line="276" w:lineRule="auto"/>
        <w:jc w:val="both"/>
      </w:pPr>
      <w:r>
        <w:t>serwis, przeglądy i aktualizacje oprogramowania w okresie dzierżawy,</w:t>
      </w:r>
    </w:p>
    <w:p w14:paraId="5E3FB6DD" w14:textId="77777777" w:rsidR="00963A02" w:rsidRDefault="00481CD5">
      <w:pPr>
        <w:pStyle w:val="Akapitzlist"/>
        <w:numPr>
          <w:ilvl w:val="0"/>
          <w:numId w:val="3"/>
        </w:numPr>
        <w:spacing w:after="60" w:line="276" w:lineRule="auto"/>
        <w:jc w:val="both"/>
      </w:pPr>
      <w:r>
        <w:t>ubezpieczenie sprzętu,</w:t>
      </w:r>
    </w:p>
    <w:p w14:paraId="4D571812" w14:textId="77777777" w:rsidR="00963A02" w:rsidRDefault="00481CD5">
      <w:pPr>
        <w:pStyle w:val="Akapitzlist"/>
        <w:numPr>
          <w:ilvl w:val="0"/>
          <w:numId w:val="3"/>
        </w:numPr>
        <w:spacing w:after="60" w:line="276" w:lineRule="auto"/>
        <w:jc w:val="both"/>
      </w:pPr>
      <w:r>
        <w:t>demontaż, odbiór i transport powrotny po zakończeniu umowy.</w:t>
      </w:r>
    </w:p>
    <w:p w14:paraId="214357F0" w14:textId="6ADA45A5" w:rsidR="00963A02" w:rsidRDefault="00481CD5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Opłata za użycie: cena jednostkowa za komplet narzędzi i materiałów na 1 zabieg, odrębna dla każdego rodzaju zabiegu. Komplet obejmuje narzędzia wielorazowe (udostępniane bez przeniesienia własności na Zamawiającego, zwracane wraz z systemem) oraz wszystkie materiały jednorazowe i obłożenia niezbędne do prawidłowego i bezpiecznego wykonania zabiegu zgodnie z zaleceniami producenta. Ryzyko zużycia, wyczerpania limitu użyć, uszkodzenia i wymiany narzędzi wielorazowych — przy prawidłowej eksploatacji oraz przygotowaniu zgodnym z dostarczonymi instrukcjami — obciąża Wykonawcę i jest wkalkulowane w cenę jednostkową.</w:t>
      </w:r>
    </w:p>
    <w:p w14:paraId="2F914D28" w14:textId="3C6861B2" w:rsidR="00963A02" w:rsidRDefault="00481CD5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 xml:space="preserve">Wymagania graniczne wynikające z infrastruktury Zamawiającego: żaden pojedynczy element systemu nie może przekraczać wysokości 195 cm, szerokości 103 cm, głębokości 177 cm ani masy 940 kg. Zasilanie ze standardowej instalacji elektrycznej 230 V/50 </w:t>
      </w:r>
      <w:proofErr w:type="spellStart"/>
      <w:r>
        <w:t>Hz</w:t>
      </w:r>
      <w:proofErr w:type="spellEnd"/>
      <w:r w:rsidR="003B2074">
        <w:t xml:space="preserve"> - Wykonawca zobowiązany jest sprawdzić i potwierdzić prawidłowe</w:t>
      </w:r>
      <w:r>
        <w:t xml:space="preserve"> </w:t>
      </w:r>
      <w:r w:rsidR="003B2074">
        <w:t xml:space="preserve">zasilanie Bloku operacyjnego przy pełnym  obciążeniu instalacji. </w:t>
      </w:r>
      <w:r>
        <w:t>Nośność stropu</w:t>
      </w:r>
      <w:r w:rsidR="003B2074">
        <w:t xml:space="preserve"> Bloku operacyjnego</w:t>
      </w:r>
      <w:r>
        <w:t xml:space="preserve"> dla oferowanego systemu chirurgii robotycznej </w:t>
      </w:r>
      <w:r>
        <w:lastRenderedPageBreak/>
        <w:t xml:space="preserve">wykonawca winien potwierdzić ekspertyzą najpóźniej w terminie do </w:t>
      </w:r>
      <w:r w:rsidR="005135DA">
        <w:t>14</w:t>
      </w:r>
      <w:r>
        <w:t xml:space="preserve"> dni od daty zawarcia umowy. Dodatkowo wykonawca winien  zweryfikować drogę transportu na Blok Operacyjny— winda, przejścia. Instalacja systemu nie może wymagać jakichkolwiek prac adaptacyjnych po stronie Zamawiającego.</w:t>
      </w:r>
    </w:p>
    <w:p w14:paraId="7449CF7F" w14:textId="77777777" w:rsidR="00963A02" w:rsidRDefault="00481CD5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Przygotowanie (mycie, dezynfekcję i sterylizację) narzędzi wielorazowych prowadzi Zamawiający we własnej Centralnej Sterylizatorni, dysponującej w szczególności: myjnią-dezynfektorem Miele PG 8528, sterylizacją parową 134°C oraz sterylizatorem plazmowym niskotemperaturowym STERRAD 100NX. Instrumentarium musi umożliwiać przeprowadzenie pełnego procesu mycia, dezynfekcji i sterylizacji z użyciem tego wyposażenia, zgodnie z walidowanymi instrukcjami producenta (IFU); Wykonawca dostarczy w ramach ceny niezbędne kosze, tace, adaptery i złącza do przepłukiwania kanałów albo zapewni rozwiązanie równoważne na własny koszt, dostarczy walidowane instrukcje w języku polskim (ze wskazaniem metody dla każdego składnika instrumentarium) oraz przeszkoli personel Centralnej Sterylizatorni. Zamawiający nie przewiduje zakupu dodatkowego wyposażenia sterylizatorni.</w:t>
      </w:r>
    </w:p>
    <w:p w14:paraId="4EAA1E6B" w14:textId="149A944D" w:rsidR="00963A02" w:rsidRDefault="00481CD5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Serwis w okresie dzierżawy: czas reakcji nie dłuższy niż 24 godziny w dni robocze od zgłoszenia awarii; usunięcie awarii w terminie nie dłuższym niż 5 dni roboczych. Czynności diagnostyczne i naprawcze wykonuje wyłącznie personel Wykonawcy. Jeżeli system nie nadaje się do wykonywania zabiegów łącznie dłużej niż 3 dni robocze, okres dzierżawy ulega przedłużeniu o czas niezdatności bez dodatkowego czynszu.</w:t>
      </w:r>
    </w:p>
    <w:p w14:paraId="6F5DBC45" w14:textId="77777777" w:rsidR="00963A02" w:rsidRDefault="00481CD5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Termin realizacji: osiągnięcie pełnej gotowości do wykonania pierwszego zabiegu — w terminie do 30 dni od dnia zawarcia umowy (w tym dostawa, instalacja i szkolenia stanowiskowe; certyfikacja operatorów zakończona przed dostawą systemu).</w:t>
      </w:r>
    </w:p>
    <w:p w14:paraId="7A0C9541" w14:textId="77777777" w:rsidR="00963A02" w:rsidRDefault="00481CD5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Rozliczenie: w dwóch okresach rozliczeniowych — po pierwszych 30 dniach okresu dzierżawy oraz po zakończeniu umowy — wyłącznie za zabiegi faktycznie wykonane; czynsz płatny w dwóch częściach (po pierwszych 30 dniach i po zakończeniu okresu dzierżawy). Termin płatności: do 60 dni od daty otrzymania prawidłowo wystawionej faktury.</w:t>
      </w:r>
    </w:p>
    <w:p w14:paraId="4FC6D7EC" w14:textId="77777777" w:rsidR="00963A02" w:rsidRDefault="00481CD5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Osoby działające w imieniu Wykonawcy (w szczególności proctor kliniczny i inżynier aplikacyjny) mogą być obecne przy zabiegu wyłącznie za uprzednią zgodą pacjenta oraz akceptacją operatora; przestrzegają procedur obowiązujących u Zamawiającego oraz zasad poufności danych medycznych. Zasady ochrony danych osobowych określa umowa powierzenia przetwarzania danych osobowych (załącznik nr 3A).</w:t>
      </w:r>
    </w:p>
    <w:p w14:paraId="1A565593" w14:textId="77777777" w:rsidR="00963A02" w:rsidRDefault="00481CD5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Materiały jednorazowe będą dostarczane w opakowaniach producenta (z nazwą produktu, numerem serii i datą ważności), z terminem ważności umożliwiającym ich wykorzystanie w okresie obowiązywania umowy.</w:t>
      </w:r>
    </w:p>
    <w:p w14:paraId="7D1D9DE6" w14:textId="77777777" w:rsidR="00963A02" w:rsidRDefault="00481CD5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Umowa nie będzie zawierała żadnych zobowiązań, opcji ani prawa pierwszeństwa dotyczących dzierżawy lub zakupu systemu po zakończeniu pilotażu.</w:t>
      </w:r>
    </w:p>
    <w:p w14:paraId="743F74EA" w14:textId="77777777" w:rsidR="00963A02" w:rsidRDefault="00481CD5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Pozostałe warunki realizacji zamówienia określają: projekt umowy (załącznik nr 3) oraz projekt umowy powierzenia przetwarzania danych osobowych (załącznik nr 3A).</w:t>
      </w:r>
    </w:p>
    <w:p w14:paraId="417538A8" w14:textId="77777777" w:rsidR="00963A02" w:rsidRDefault="00481CD5">
      <w:pPr>
        <w:keepNext/>
        <w:spacing w:before="220" w:after="120"/>
      </w:pPr>
      <w:r>
        <w:rPr>
          <w:b/>
          <w:bCs/>
        </w:rPr>
        <w:t>Rozdział II. Wymagania funkcjonalne systemu chirurgii robotycznej</w:t>
      </w:r>
    </w:p>
    <w:p w14:paraId="490B646A" w14:textId="77777777" w:rsidR="00963A02" w:rsidRDefault="00481CD5">
      <w:pPr>
        <w:spacing w:after="100" w:line="276" w:lineRule="auto"/>
        <w:jc w:val="both"/>
      </w:pPr>
      <w:r>
        <w:rPr>
          <w:i/>
          <w:iCs/>
        </w:rPr>
        <w:t>Wszystkie wymagania wskazane w poniższej tabeli są wymaganiami granicznymi (minimalnymi). W kolumnie „Potwierdzenie" należy wpisać TAK albo NIE. Zaoferowanie systemu niespełniającego któregokolwiek z wymagań skutkuje odrzuceniem oferty.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600"/>
        <w:gridCol w:w="6426"/>
        <w:gridCol w:w="2000"/>
      </w:tblGrid>
      <w:tr w:rsidR="00963A02" w14:paraId="73A6BD0F" w14:textId="77777777" w:rsidTr="00597AF6">
        <w:trPr>
          <w:tblHeader/>
        </w:trPr>
        <w:tc>
          <w:tcPr>
            <w:tcW w:w="600" w:type="dxa"/>
            <w:vAlign w:val="center"/>
          </w:tcPr>
          <w:p w14:paraId="5518191D" w14:textId="77777777" w:rsidR="00963A02" w:rsidRDefault="00481CD5">
            <w:pPr>
              <w:spacing w:line="260" w:lineRule="auto"/>
              <w:jc w:val="center"/>
            </w:pPr>
            <w:r>
              <w:rPr>
                <w:b/>
                <w:bCs/>
              </w:rPr>
              <w:t>Lp.</w:t>
            </w:r>
          </w:p>
        </w:tc>
        <w:tc>
          <w:tcPr>
            <w:tcW w:w="6426" w:type="dxa"/>
            <w:vAlign w:val="center"/>
          </w:tcPr>
          <w:p w14:paraId="188848E0" w14:textId="77777777" w:rsidR="00963A02" w:rsidRDefault="00481CD5">
            <w:pPr>
              <w:spacing w:line="260" w:lineRule="auto"/>
              <w:jc w:val="center"/>
            </w:pPr>
            <w:r>
              <w:rPr>
                <w:b/>
                <w:bCs/>
              </w:rPr>
              <w:t>Wymaganie (parametr wymagany)</w:t>
            </w:r>
          </w:p>
        </w:tc>
        <w:tc>
          <w:tcPr>
            <w:tcW w:w="2000" w:type="dxa"/>
            <w:vAlign w:val="center"/>
          </w:tcPr>
          <w:p w14:paraId="3F607CF6" w14:textId="77777777" w:rsidR="00963A02" w:rsidRDefault="00481CD5">
            <w:pPr>
              <w:spacing w:line="260" w:lineRule="auto"/>
              <w:jc w:val="center"/>
            </w:pPr>
            <w:r>
              <w:rPr>
                <w:b/>
                <w:bCs/>
              </w:rPr>
              <w:t>Potwierdzenie (TAK/NIE)</w:t>
            </w:r>
          </w:p>
        </w:tc>
      </w:tr>
      <w:tr w:rsidR="00963A02" w14:paraId="7D9F03B5" w14:textId="77777777">
        <w:tc>
          <w:tcPr>
            <w:tcW w:w="600" w:type="dxa"/>
            <w:vAlign w:val="center"/>
          </w:tcPr>
          <w:p w14:paraId="5EAFE487" w14:textId="77777777" w:rsidR="00963A02" w:rsidRDefault="00481CD5">
            <w:pPr>
              <w:spacing w:line="260" w:lineRule="auto"/>
              <w:jc w:val="center"/>
            </w:pPr>
            <w:r>
              <w:t>1.</w:t>
            </w:r>
          </w:p>
        </w:tc>
        <w:tc>
          <w:tcPr>
            <w:tcW w:w="6426" w:type="dxa"/>
            <w:vAlign w:val="center"/>
          </w:tcPr>
          <w:p w14:paraId="1CDF0775" w14:textId="77777777" w:rsidR="00963A02" w:rsidRDefault="00481CD5">
            <w:pPr>
              <w:spacing w:line="260" w:lineRule="auto"/>
            </w:pPr>
            <w:r>
              <w:t xml:space="preserve">System chirurgii robotycznej przeznaczony i dopuszczony, zgodnie z dokumentacją producenta, do wykonywania procedur co najmniej z </w:t>
            </w:r>
            <w:r>
              <w:lastRenderedPageBreak/>
              <w:t>zakresu urologii, w tym zabiegów objętych zamówieniem (prostatektomia radykalna, nefrektomia/NSS, cystektomia).</w:t>
            </w:r>
          </w:p>
        </w:tc>
        <w:tc>
          <w:tcPr>
            <w:tcW w:w="2000" w:type="dxa"/>
            <w:vAlign w:val="center"/>
          </w:tcPr>
          <w:p w14:paraId="332DC302" w14:textId="77777777" w:rsidR="00963A02" w:rsidRDefault="00963A02">
            <w:pPr>
              <w:spacing w:line="260" w:lineRule="auto"/>
            </w:pPr>
          </w:p>
        </w:tc>
      </w:tr>
      <w:tr w:rsidR="00963A02" w14:paraId="594BA555" w14:textId="77777777">
        <w:tc>
          <w:tcPr>
            <w:tcW w:w="600" w:type="dxa"/>
            <w:vAlign w:val="center"/>
          </w:tcPr>
          <w:p w14:paraId="585E2ABE" w14:textId="77777777" w:rsidR="00963A02" w:rsidRDefault="00481CD5">
            <w:pPr>
              <w:spacing w:line="260" w:lineRule="auto"/>
              <w:jc w:val="center"/>
            </w:pPr>
            <w:r>
              <w:t>2.</w:t>
            </w:r>
          </w:p>
        </w:tc>
        <w:tc>
          <w:tcPr>
            <w:tcW w:w="6426" w:type="dxa"/>
            <w:vAlign w:val="center"/>
          </w:tcPr>
          <w:p w14:paraId="2F9A9BC2" w14:textId="77777777" w:rsidR="00963A02" w:rsidRDefault="00481CD5">
            <w:pPr>
              <w:spacing w:line="260" w:lineRule="auto"/>
            </w:pPr>
            <w:r>
              <w:t>System umożliwiający przeprowadzenie pełnych procedur medycznych wewnątrzotrzewnowo techniką w pełni robotową.</w:t>
            </w:r>
          </w:p>
        </w:tc>
        <w:tc>
          <w:tcPr>
            <w:tcW w:w="2000" w:type="dxa"/>
            <w:vAlign w:val="center"/>
          </w:tcPr>
          <w:p w14:paraId="5956280F" w14:textId="77777777" w:rsidR="00963A02" w:rsidRDefault="00963A02">
            <w:pPr>
              <w:spacing w:line="260" w:lineRule="auto"/>
            </w:pPr>
          </w:p>
        </w:tc>
      </w:tr>
      <w:tr w:rsidR="00963A02" w14:paraId="1925300A" w14:textId="77777777">
        <w:tc>
          <w:tcPr>
            <w:tcW w:w="600" w:type="dxa"/>
            <w:vAlign w:val="center"/>
          </w:tcPr>
          <w:p w14:paraId="46129E92" w14:textId="77777777" w:rsidR="00963A02" w:rsidRDefault="00481CD5">
            <w:pPr>
              <w:spacing w:line="260" w:lineRule="auto"/>
              <w:jc w:val="center"/>
            </w:pPr>
            <w:r>
              <w:t>3.</w:t>
            </w:r>
          </w:p>
        </w:tc>
        <w:tc>
          <w:tcPr>
            <w:tcW w:w="6426" w:type="dxa"/>
            <w:vAlign w:val="center"/>
          </w:tcPr>
          <w:p w14:paraId="535A2812" w14:textId="77777777" w:rsidR="00963A02" w:rsidRDefault="00481CD5">
            <w:pPr>
              <w:spacing w:line="260" w:lineRule="auto"/>
            </w:pPr>
            <w:r>
              <w:t>System umożliwiający przeprowadzenie procedur z wykorzystaniem obrazowania w bliskiej podczerwieni z użyciem zieleni indocyjaninowej (ICG), z nakładaniem obrazu fluorescencji na obraz endoskopowy (co najmniej 2 tryby prezentacji fluorescencji).</w:t>
            </w:r>
          </w:p>
        </w:tc>
        <w:tc>
          <w:tcPr>
            <w:tcW w:w="2000" w:type="dxa"/>
            <w:vAlign w:val="center"/>
          </w:tcPr>
          <w:p w14:paraId="44C01CFF" w14:textId="77777777" w:rsidR="00963A02" w:rsidRDefault="00963A02">
            <w:pPr>
              <w:spacing w:line="260" w:lineRule="auto"/>
            </w:pPr>
          </w:p>
        </w:tc>
      </w:tr>
      <w:tr w:rsidR="00963A02" w14:paraId="13041D0D" w14:textId="77777777">
        <w:tc>
          <w:tcPr>
            <w:tcW w:w="600" w:type="dxa"/>
            <w:vAlign w:val="center"/>
          </w:tcPr>
          <w:p w14:paraId="42B0BB76" w14:textId="77777777" w:rsidR="00963A02" w:rsidRDefault="00481CD5">
            <w:pPr>
              <w:spacing w:line="260" w:lineRule="auto"/>
              <w:jc w:val="center"/>
            </w:pPr>
            <w:r>
              <w:t>4.</w:t>
            </w:r>
          </w:p>
        </w:tc>
        <w:tc>
          <w:tcPr>
            <w:tcW w:w="6426" w:type="dxa"/>
            <w:vAlign w:val="center"/>
          </w:tcPr>
          <w:p w14:paraId="111470D1" w14:textId="77777777" w:rsidR="00963A02" w:rsidRDefault="00481CD5">
            <w:pPr>
              <w:spacing w:line="260" w:lineRule="auto"/>
            </w:pPr>
            <w:r>
              <w:t>Zestaw składający się co najmniej z: konsoli chirurgicznej; wózka (platformy) pacjenta z min. 4 uniwersalnymi ramionami robotycznymi w konfiguracji zintegrowanej (wspólna platforma); toru wizyjnego 3D o rozdzielczości 4K z monitorem medycznym, na wózku jezdnym, sterowanego przez oprogramowanie systemu i włączanego z poziomu konsoli; platformy elektrochirurgicznej (generatora mono- i bipolarnego) kompatybilnej z narzędziami robotycznymi, aktywowanej z poziomu konsoli, wraz z niezbędnym okablowaniem; 2 szt. wideoendoskopów robotycznych 3D/4K z końcówką 30°. Wszystkie elementy wzajemnie kompatybilne sprzętowo i programowo, ze sterowaniem wymaganymi funkcjami z poziomu konsoli operatora.</w:t>
            </w:r>
          </w:p>
        </w:tc>
        <w:tc>
          <w:tcPr>
            <w:tcW w:w="2000" w:type="dxa"/>
            <w:vAlign w:val="center"/>
          </w:tcPr>
          <w:p w14:paraId="5838B853" w14:textId="77777777" w:rsidR="00963A02" w:rsidRDefault="00963A02">
            <w:pPr>
              <w:spacing w:line="260" w:lineRule="auto"/>
            </w:pPr>
          </w:p>
        </w:tc>
      </w:tr>
      <w:tr w:rsidR="00963A02" w14:paraId="29A9BAB7" w14:textId="77777777">
        <w:tc>
          <w:tcPr>
            <w:tcW w:w="600" w:type="dxa"/>
            <w:vAlign w:val="center"/>
          </w:tcPr>
          <w:p w14:paraId="1FDB277C" w14:textId="77777777" w:rsidR="00963A02" w:rsidRDefault="00481CD5">
            <w:pPr>
              <w:spacing w:line="260" w:lineRule="auto"/>
              <w:jc w:val="center"/>
            </w:pPr>
            <w:r>
              <w:t>5.</w:t>
            </w:r>
          </w:p>
        </w:tc>
        <w:tc>
          <w:tcPr>
            <w:tcW w:w="6426" w:type="dxa"/>
            <w:vAlign w:val="center"/>
          </w:tcPr>
          <w:p w14:paraId="35867685" w14:textId="77777777" w:rsidR="00963A02" w:rsidRDefault="00481CD5">
            <w:pPr>
              <w:spacing w:line="260" w:lineRule="auto"/>
            </w:pPr>
            <w:r>
              <w:t>Konsola chirurgiczna mobilna na podstawie jezdnej z blokadą kół, zapewniająca transmisję ruchów rąk operatora do ramion robotycznych z minimalizacją efektu naturalnego drżenia rąk oraz skalowaniem ruchu narzędzi.</w:t>
            </w:r>
          </w:p>
        </w:tc>
        <w:tc>
          <w:tcPr>
            <w:tcW w:w="2000" w:type="dxa"/>
            <w:vAlign w:val="center"/>
          </w:tcPr>
          <w:p w14:paraId="027DA82F" w14:textId="77777777" w:rsidR="00963A02" w:rsidRDefault="00963A02">
            <w:pPr>
              <w:spacing w:line="260" w:lineRule="auto"/>
            </w:pPr>
          </w:p>
        </w:tc>
      </w:tr>
      <w:tr w:rsidR="00963A02" w14:paraId="6A1E32F1" w14:textId="77777777">
        <w:tc>
          <w:tcPr>
            <w:tcW w:w="600" w:type="dxa"/>
            <w:vAlign w:val="center"/>
          </w:tcPr>
          <w:p w14:paraId="6F6CB554" w14:textId="77777777" w:rsidR="00963A02" w:rsidRDefault="00481CD5">
            <w:pPr>
              <w:spacing w:line="260" w:lineRule="auto"/>
              <w:jc w:val="center"/>
            </w:pPr>
            <w:r>
              <w:t>6.</w:t>
            </w:r>
          </w:p>
        </w:tc>
        <w:tc>
          <w:tcPr>
            <w:tcW w:w="6426" w:type="dxa"/>
            <w:vAlign w:val="center"/>
          </w:tcPr>
          <w:p w14:paraId="387546DC" w14:textId="77777777" w:rsidR="00963A02" w:rsidRDefault="00481CD5">
            <w:pPr>
              <w:spacing w:line="260" w:lineRule="auto"/>
            </w:pPr>
            <w:r>
              <w:t>Możliwość sterowania narzędziami chirurgicznymi oraz wideoendoskopem 3D w każdym z ramion robotycznych.</w:t>
            </w:r>
          </w:p>
        </w:tc>
        <w:tc>
          <w:tcPr>
            <w:tcW w:w="2000" w:type="dxa"/>
            <w:vAlign w:val="center"/>
          </w:tcPr>
          <w:p w14:paraId="062C3C9E" w14:textId="77777777" w:rsidR="00963A02" w:rsidRDefault="00963A02">
            <w:pPr>
              <w:spacing w:line="260" w:lineRule="auto"/>
            </w:pPr>
          </w:p>
        </w:tc>
      </w:tr>
      <w:tr w:rsidR="00963A02" w14:paraId="0BE93677" w14:textId="77777777">
        <w:tc>
          <w:tcPr>
            <w:tcW w:w="600" w:type="dxa"/>
            <w:vAlign w:val="center"/>
          </w:tcPr>
          <w:p w14:paraId="23953493" w14:textId="77777777" w:rsidR="00963A02" w:rsidRDefault="00481CD5">
            <w:pPr>
              <w:spacing w:line="260" w:lineRule="auto"/>
              <w:jc w:val="center"/>
            </w:pPr>
            <w:r>
              <w:t>7.</w:t>
            </w:r>
          </w:p>
        </w:tc>
        <w:tc>
          <w:tcPr>
            <w:tcW w:w="6426" w:type="dxa"/>
            <w:vAlign w:val="center"/>
          </w:tcPr>
          <w:p w14:paraId="2E0EA9E5" w14:textId="77777777" w:rsidR="00963A02" w:rsidRDefault="00481CD5">
            <w:pPr>
              <w:spacing w:line="260" w:lineRule="auto"/>
            </w:pPr>
            <w:r>
              <w:t>Sterowanie z poziomu konsoli co najmniej w zakresie: uruchamiania funkcji ICG; włączania i wyłączania sygnałów ze źródeł zewnętrznych (np. USG) wyświetlanych na konsoli; zmiany powiększenia cyfrowego obrazu za pomocą manetek sterujących i/lub przełączników nożnych; pełnego zakresu obrotu kątowego końcówki w osi wzdłużnej narzędzia; przełączania kąta prezentacji obrazu z endoskopu 30° w dół / 30° w górę.</w:t>
            </w:r>
          </w:p>
        </w:tc>
        <w:tc>
          <w:tcPr>
            <w:tcW w:w="2000" w:type="dxa"/>
            <w:vAlign w:val="center"/>
          </w:tcPr>
          <w:p w14:paraId="03987C67" w14:textId="77777777" w:rsidR="00963A02" w:rsidRDefault="00963A02">
            <w:pPr>
              <w:spacing w:line="260" w:lineRule="auto"/>
            </w:pPr>
          </w:p>
        </w:tc>
      </w:tr>
      <w:tr w:rsidR="00963A02" w14:paraId="1026B2ED" w14:textId="77777777">
        <w:tc>
          <w:tcPr>
            <w:tcW w:w="600" w:type="dxa"/>
            <w:vAlign w:val="center"/>
          </w:tcPr>
          <w:p w14:paraId="0CDB2BCE" w14:textId="77777777" w:rsidR="00963A02" w:rsidRDefault="00481CD5">
            <w:pPr>
              <w:spacing w:line="260" w:lineRule="auto"/>
              <w:jc w:val="center"/>
            </w:pPr>
            <w:r>
              <w:t>8.</w:t>
            </w:r>
          </w:p>
        </w:tc>
        <w:tc>
          <w:tcPr>
            <w:tcW w:w="6426" w:type="dxa"/>
            <w:vAlign w:val="center"/>
          </w:tcPr>
          <w:p w14:paraId="4F2C36A2" w14:textId="77777777" w:rsidR="00963A02" w:rsidRDefault="00481CD5">
            <w:pPr>
              <w:spacing w:line="260" w:lineRule="auto"/>
            </w:pPr>
            <w:r>
              <w:t>Elementy konsoli co najmniej: manetki sterujące (lewa i prawa), przeglądarka stereoskopowa, ekran dotykowy do obsługi konsoli i zarządzania wizualizacją, panel przełączników nożnych do uruchamiania elektrokoagulacji mono- i bipolarnej, zarządzania endoskopem i wysprzęglania.</w:t>
            </w:r>
          </w:p>
        </w:tc>
        <w:tc>
          <w:tcPr>
            <w:tcW w:w="2000" w:type="dxa"/>
            <w:vAlign w:val="center"/>
          </w:tcPr>
          <w:p w14:paraId="6E38B28D" w14:textId="77777777" w:rsidR="00963A02" w:rsidRDefault="00963A02">
            <w:pPr>
              <w:spacing w:line="260" w:lineRule="auto"/>
            </w:pPr>
          </w:p>
        </w:tc>
      </w:tr>
      <w:tr w:rsidR="00963A02" w14:paraId="50862406" w14:textId="77777777">
        <w:tc>
          <w:tcPr>
            <w:tcW w:w="600" w:type="dxa"/>
            <w:vAlign w:val="center"/>
          </w:tcPr>
          <w:p w14:paraId="37AAF08F" w14:textId="77777777" w:rsidR="00963A02" w:rsidRDefault="00481CD5">
            <w:pPr>
              <w:spacing w:line="260" w:lineRule="auto"/>
              <w:jc w:val="center"/>
            </w:pPr>
            <w:r>
              <w:t>9.</w:t>
            </w:r>
          </w:p>
        </w:tc>
        <w:tc>
          <w:tcPr>
            <w:tcW w:w="6426" w:type="dxa"/>
            <w:vAlign w:val="center"/>
          </w:tcPr>
          <w:p w14:paraId="33DB7C36" w14:textId="77777777" w:rsidR="00963A02" w:rsidRDefault="00481CD5">
            <w:pPr>
              <w:spacing w:line="260" w:lineRule="auto"/>
            </w:pPr>
            <w:r>
              <w:t>Dostęp z konsoli do wyłącznika awaryjnego oraz regulacji parametrów ergonomicznych konsoli.</w:t>
            </w:r>
          </w:p>
        </w:tc>
        <w:tc>
          <w:tcPr>
            <w:tcW w:w="2000" w:type="dxa"/>
            <w:vAlign w:val="center"/>
          </w:tcPr>
          <w:p w14:paraId="0638EA6E" w14:textId="77777777" w:rsidR="00963A02" w:rsidRDefault="00963A02">
            <w:pPr>
              <w:spacing w:line="260" w:lineRule="auto"/>
            </w:pPr>
          </w:p>
        </w:tc>
      </w:tr>
      <w:tr w:rsidR="00963A02" w14:paraId="1F502416" w14:textId="77777777">
        <w:tc>
          <w:tcPr>
            <w:tcW w:w="600" w:type="dxa"/>
            <w:vAlign w:val="center"/>
          </w:tcPr>
          <w:p w14:paraId="4520DE82" w14:textId="77777777" w:rsidR="00963A02" w:rsidRDefault="00481CD5">
            <w:pPr>
              <w:spacing w:line="260" w:lineRule="auto"/>
              <w:jc w:val="center"/>
            </w:pPr>
            <w:r>
              <w:t>10.</w:t>
            </w:r>
          </w:p>
        </w:tc>
        <w:tc>
          <w:tcPr>
            <w:tcW w:w="6426" w:type="dxa"/>
            <w:vAlign w:val="center"/>
          </w:tcPr>
          <w:p w14:paraId="19050363" w14:textId="77777777" w:rsidR="00963A02" w:rsidRDefault="00481CD5">
            <w:pPr>
              <w:spacing w:line="260" w:lineRule="auto"/>
            </w:pPr>
            <w:r>
              <w:t>Wyświetlanie w polu widzenia operatora komunikatów i ikon o stanie systemu oraz obrazu z pomocniczych źródeł obrazowych.</w:t>
            </w:r>
          </w:p>
        </w:tc>
        <w:tc>
          <w:tcPr>
            <w:tcW w:w="2000" w:type="dxa"/>
            <w:vAlign w:val="center"/>
          </w:tcPr>
          <w:p w14:paraId="705F9E7D" w14:textId="77777777" w:rsidR="00963A02" w:rsidRDefault="00963A02">
            <w:pPr>
              <w:spacing w:line="260" w:lineRule="auto"/>
            </w:pPr>
          </w:p>
        </w:tc>
      </w:tr>
      <w:tr w:rsidR="00963A02" w14:paraId="0321AE21" w14:textId="77777777">
        <w:tc>
          <w:tcPr>
            <w:tcW w:w="600" w:type="dxa"/>
            <w:vAlign w:val="center"/>
          </w:tcPr>
          <w:p w14:paraId="60853170" w14:textId="77777777" w:rsidR="00963A02" w:rsidRDefault="00481CD5">
            <w:pPr>
              <w:spacing w:line="260" w:lineRule="auto"/>
              <w:jc w:val="center"/>
            </w:pPr>
            <w:r>
              <w:t>11.</w:t>
            </w:r>
          </w:p>
        </w:tc>
        <w:tc>
          <w:tcPr>
            <w:tcW w:w="6426" w:type="dxa"/>
            <w:vAlign w:val="center"/>
          </w:tcPr>
          <w:p w14:paraId="70C68088" w14:textId="77777777" w:rsidR="00963A02" w:rsidRDefault="00481CD5">
            <w:pPr>
              <w:spacing w:line="260" w:lineRule="auto"/>
            </w:pPr>
            <w:r>
              <w:t>Funkcja umożliwiająca operatorowi bezpieczne przeniesienie wzroku poza przeglądarkę stereoskopową bez wyzwalania rąk z manetek, z zachowaniem stałej pozycji narzędzi w ciele pacjenta.</w:t>
            </w:r>
          </w:p>
        </w:tc>
        <w:tc>
          <w:tcPr>
            <w:tcW w:w="2000" w:type="dxa"/>
            <w:vAlign w:val="center"/>
          </w:tcPr>
          <w:p w14:paraId="0A3DE25D" w14:textId="77777777" w:rsidR="00963A02" w:rsidRDefault="00963A02">
            <w:pPr>
              <w:spacing w:line="260" w:lineRule="auto"/>
            </w:pPr>
          </w:p>
        </w:tc>
      </w:tr>
      <w:tr w:rsidR="00963A02" w14:paraId="1C6E4F29" w14:textId="77777777">
        <w:tc>
          <w:tcPr>
            <w:tcW w:w="600" w:type="dxa"/>
            <w:vAlign w:val="center"/>
          </w:tcPr>
          <w:p w14:paraId="3E21DF23" w14:textId="77777777" w:rsidR="00963A02" w:rsidRDefault="00481CD5">
            <w:pPr>
              <w:spacing w:line="260" w:lineRule="auto"/>
              <w:jc w:val="center"/>
            </w:pPr>
            <w:r>
              <w:lastRenderedPageBreak/>
              <w:t>12.</w:t>
            </w:r>
          </w:p>
        </w:tc>
        <w:tc>
          <w:tcPr>
            <w:tcW w:w="6426" w:type="dxa"/>
            <w:vAlign w:val="center"/>
          </w:tcPr>
          <w:p w14:paraId="347A0F92" w14:textId="77777777" w:rsidR="00963A02" w:rsidRDefault="00481CD5">
            <w:pPr>
              <w:spacing w:line="260" w:lineRule="auto"/>
            </w:pPr>
            <w:r>
              <w:t>Panel dotykowy konsoli umożliwiający co najmniej: wyświetlenie informacji o narzędziach i endoskopie, przypisanie narzędzi do konfiguracji rąk, sterowanie ustawieniami manetek (wysprzęglenie, skalowanie ruchu, przypisanie do ręki), pozycjonowanie endoskopu i sterowanie jego funkcjami, sterowanie ustawieniami obrazu i dźwięku oraz ich zapisem, włączanie sygnałów zewnętrznych, zarządzanie kontami użytkowników.</w:t>
            </w:r>
          </w:p>
        </w:tc>
        <w:tc>
          <w:tcPr>
            <w:tcW w:w="2000" w:type="dxa"/>
            <w:vAlign w:val="center"/>
          </w:tcPr>
          <w:p w14:paraId="49B413F4" w14:textId="77777777" w:rsidR="00963A02" w:rsidRDefault="00963A02">
            <w:pPr>
              <w:spacing w:line="260" w:lineRule="auto"/>
            </w:pPr>
          </w:p>
        </w:tc>
      </w:tr>
      <w:tr w:rsidR="00963A02" w14:paraId="60933CC0" w14:textId="77777777">
        <w:tc>
          <w:tcPr>
            <w:tcW w:w="600" w:type="dxa"/>
            <w:vAlign w:val="center"/>
          </w:tcPr>
          <w:p w14:paraId="4EDF915D" w14:textId="77777777" w:rsidR="00963A02" w:rsidRDefault="00481CD5">
            <w:pPr>
              <w:spacing w:line="260" w:lineRule="auto"/>
              <w:jc w:val="center"/>
            </w:pPr>
            <w:r>
              <w:t>13.</w:t>
            </w:r>
          </w:p>
        </w:tc>
        <w:tc>
          <w:tcPr>
            <w:tcW w:w="6426" w:type="dxa"/>
            <w:vAlign w:val="center"/>
          </w:tcPr>
          <w:p w14:paraId="71D882D6" w14:textId="77777777" w:rsidR="00963A02" w:rsidRDefault="00481CD5">
            <w:pPr>
              <w:spacing w:line="260" w:lineRule="auto"/>
            </w:pPr>
            <w:r>
              <w:t>Możliwość rozbudowy systemu o współpracę z drugą konsolą chirurgiczną (druga konsola nie stanowi przedmiotu zamówienia).</w:t>
            </w:r>
          </w:p>
        </w:tc>
        <w:tc>
          <w:tcPr>
            <w:tcW w:w="2000" w:type="dxa"/>
            <w:vAlign w:val="center"/>
          </w:tcPr>
          <w:p w14:paraId="1A2034B8" w14:textId="77777777" w:rsidR="00963A02" w:rsidRDefault="00963A02">
            <w:pPr>
              <w:spacing w:line="260" w:lineRule="auto"/>
            </w:pPr>
          </w:p>
        </w:tc>
      </w:tr>
      <w:tr w:rsidR="00963A02" w14:paraId="304FCE6B" w14:textId="77777777">
        <w:tc>
          <w:tcPr>
            <w:tcW w:w="600" w:type="dxa"/>
            <w:vAlign w:val="center"/>
          </w:tcPr>
          <w:p w14:paraId="0B8E7DA6" w14:textId="77777777" w:rsidR="00963A02" w:rsidRDefault="00481CD5">
            <w:pPr>
              <w:spacing w:line="260" w:lineRule="auto"/>
              <w:jc w:val="center"/>
            </w:pPr>
            <w:r>
              <w:t>14.</w:t>
            </w:r>
          </w:p>
        </w:tc>
        <w:tc>
          <w:tcPr>
            <w:tcW w:w="6426" w:type="dxa"/>
            <w:vAlign w:val="center"/>
          </w:tcPr>
          <w:p w14:paraId="7477125B" w14:textId="77777777" w:rsidR="00963A02" w:rsidRDefault="00481CD5">
            <w:pPr>
              <w:spacing w:line="260" w:lineRule="auto"/>
            </w:pPr>
            <w:r>
              <w:t>W przypadku błędu systemowego lub przerwy w zasilaniu — możliwość wznowienia pracy i kontynuacji zabiegu po przywróceniu zasilania, z zachowaniem bezpieczeństwa pacjenta i personelu oraz możliwością odtworzenia konfiguracji roboczej.</w:t>
            </w:r>
          </w:p>
        </w:tc>
        <w:tc>
          <w:tcPr>
            <w:tcW w:w="2000" w:type="dxa"/>
            <w:vAlign w:val="center"/>
          </w:tcPr>
          <w:p w14:paraId="17083116" w14:textId="77777777" w:rsidR="00963A02" w:rsidRDefault="00963A02">
            <w:pPr>
              <w:spacing w:line="260" w:lineRule="auto"/>
            </w:pPr>
          </w:p>
        </w:tc>
      </w:tr>
      <w:tr w:rsidR="00963A02" w14:paraId="64146FB9" w14:textId="77777777">
        <w:tc>
          <w:tcPr>
            <w:tcW w:w="600" w:type="dxa"/>
            <w:vAlign w:val="center"/>
          </w:tcPr>
          <w:p w14:paraId="00AEA5E8" w14:textId="77777777" w:rsidR="00963A02" w:rsidRDefault="00481CD5">
            <w:pPr>
              <w:spacing w:line="260" w:lineRule="auto"/>
              <w:jc w:val="center"/>
            </w:pPr>
            <w:r>
              <w:t>15.</w:t>
            </w:r>
          </w:p>
        </w:tc>
        <w:tc>
          <w:tcPr>
            <w:tcW w:w="6426" w:type="dxa"/>
            <w:vAlign w:val="center"/>
          </w:tcPr>
          <w:p w14:paraId="471F7040" w14:textId="77777777" w:rsidR="00963A02" w:rsidRDefault="00481CD5">
            <w:pPr>
              <w:spacing w:line="260" w:lineRule="auto"/>
            </w:pPr>
            <w:r>
              <w:t>Kolumna (platforma) pacjenta umożliwiająca obrót ramion względem osi pionowej i poziomej oraz wyposażona w system wspomagający ustalenie centralnego punktu dokowania (np. wskaźnik laserowy); napęd elektryczny wspomagający transport i dokowanie urządzenia.</w:t>
            </w:r>
          </w:p>
        </w:tc>
        <w:tc>
          <w:tcPr>
            <w:tcW w:w="2000" w:type="dxa"/>
            <w:vAlign w:val="center"/>
          </w:tcPr>
          <w:p w14:paraId="1C221F38" w14:textId="77777777" w:rsidR="00963A02" w:rsidRDefault="00963A02">
            <w:pPr>
              <w:spacing w:line="260" w:lineRule="auto"/>
            </w:pPr>
          </w:p>
        </w:tc>
      </w:tr>
      <w:tr w:rsidR="00963A02" w14:paraId="3207AA2B" w14:textId="77777777">
        <w:tc>
          <w:tcPr>
            <w:tcW w:w="600" w:type="dxa"/>
            <w:vAlign w:val="center"/>
          </w:tcPr>
          <w:p w14:paraId="7F0EF7E0" w14:textId="77777777" w:rsidR="00963A02" w:rsidRDefault="00481CD5">
            <w:pPr>
              <w:spacing w:line="260" w:lineRule="auto"/>
              <w:jc w:val="center"/>
            </w:pPr>
            <w:r>
              <w:t>16.</w:t>
            </w:r>
          </w:p>
        </w:tc>
        <w:tc>
          <w:tcPr>
            <w:tcW w:w="6426" w:type="dxa"/>
            <w:vAlign w:val="center"/>
          </w:tcPr>
          <w:p w14:paraId="7C484D40" w14:textId="77777777" w:rsidR="00963A02" w:rsidRDefault="00481CD5">
            <w:pPr>
              <w:spacing w:line="260" w:lineRule="auto"/>
            </w:pPr>
            <w:r>
              <w:t>Możliwość manualnego pozycjonowania niezadokowanego ramienia robotycznego.</w:t>
            </w:r>
          </w:p>
        </w:tc>
        <w:tc>
          <w:tcPr>
            <w:tcW w:w="2000" w:type="dxa"/>
            <w:vAlign w:val="center"/>
          </w:tcPr>
          <w:p w14:paraId="7CC87A45" w14:textId="77777777" w:rsidR="00963A02" w:rsidRDefault="00963A02">
            <w:pPr>
              <w:spacing w:line="260" w:lineRule="auto"/>
            </w:pPr>
          </w:p>
        </w:tc>
      </w:tr>
      <w:tr w:rsidR="00963A02" w14:paraId="23A6ABAA" w14:textId="77777777">
        <w:tc>
          <w:tcPr>
            <w:tcW w:w="600" w:type="dxa"/>
            <w:vAlign w:val="center"/>
          </w:tcPr>
          <w:p w14:paraId="6B180C42" w14:textId="77777777" w:rsidR="00963A02" w:rsidRDefault="00481CD5">
            <w:pPr>
              <w:spacing w:line="260" w:lineRule="auto"/>
              <w:jc w:val="center"/>
            </w:pPr>
            <w:r>
              <w:t>17.</w:t>
            </w:r>
          </w:p>
        </w:tc>
        <w:tc>
          <w:tcPr>
            <w:tcW w:w="6426" w:type="dxa"/>
            <w:vAlign w:val="center"/>
          </w:tcPr>
          <w:p w14:paraId="149B3B9C" w14:textId="77777777" w:rsidR="00963A02" w:rsidRDefault="00481CD5">
            <w:pPr>
              <w:spacing w:line="260" w:lineRule="auto"/>
            </w:pPr>
            <w:r>
              <w:t>Narzędzia robotyczne wielorazowe artykulacyjne z określoną przez producenta liczbą użyć; artykulacja końcówki roboczej w min. 7 stopniach swobody; obrót końcówki roboczej o min. 540°; obsługa z poziomu konsoli bez dodatkowych adapterów zewnętrznych.</w:t>
            </w:r>
          </w:p>
        </w:tc>
        <w:tc>
          <w:tcPr>
            <w:tcW w:w="2000" w:type="dxa"/>
            <w:vAlign w:val="center"/>
          </w:tcPr>
          <w:p w14:paraId="224A9E46" w14:textId="77777777" w:rsidR="00963A02" w:rsidRDefault="00963A02">
            <w:pPr>
              <w:spacing w:line="260" w:lineRule="auto"/>
            </w:pPr>
          </w:p>
        </w:tc>
      </w:tr>
      <w:tr w:rsidR="00963A02" w14:paraId="7F15E350" w14:textId="77777777">
        <w:tc>
          <w:tcPr>
            <w:tcW w:w="600" w:type="dxa"/>
            <w:vAlign w:val="center"/>
          </w:tcPr>
          <w:p w14:paraId="4C145021" w14:textId="77777777" w:rsidR="00963A02" w:rsidRDefault="00481CD5">
            <w:pPr>
              <w:spacing w:line="260" w:lineRule="auto"/>
              <w:jc w:val="center"/>
            </w:pPr>
            <w:r>
              <w:t>18.</w:t>
            </w:r>
          </w:p>
        </w:tc>
        <w:tc>
          <w:tcPr>
            <w:tcW w:w="6426" w:type="dxa"/>
            <w:vAlign w:val="center"/>
          </w:tcPr>
          <w:p w14:paraId="4252E4BE" w14:textId="77777777" w:rsidR="00963A02" w:rsidRDefault="00481CD5">
            <w:pPr>
              <w:spacing w:line="260" w:lineRule="auto"/>
            </w:pPr>
            <w:r>
              <w:t>Dostępne w ofercie producenta grupy narzędzi co najmniej: artykulacyjne monopolarne narzędzia elektrochirurgiczne (min. 2 typy końcówek), artykulacyjne bipolarne narzędzia elektrochirurgiczne (min. 2 typy), artykulacyjne graspery/preparatory (min. 2 typy), artykulacyjne imadła (min. 2 typy).</w:t>
            </w:r>
          </w:p>
        </w:tc>
        <w:tc>
          <w:tcPr>
            <w:tcW w:w="2000" w:type="dxa"/>
            <w:vAlign w:val="center"/>
          </w:tcPr>
          <w:p w14:paraId="011E364D" w14:textId="77777777" w:rsidR="00963A02" w:rsidRDefault="00963A02">
            <w:pPr>
              <w:spacing w:line="260" w:lineRule="auto"/>
            </w:pPr>
          </w:p>
        </w:tc>
      </w:tr>
      <w:tr w:rsidR="00963A02" w14:paraId="3C655B9A" w14:textId="77777777">
        <w:tc>
          <w:tcPr>
            <w:tcW w:w="600" w:type="dxa"/>
            <w:vAlign w:val="center"/>
          </w:tcPr>
          <w:p w14:paraId="05BE6EE0" w14:textId="77777777" w:rsidR="00963A02" w:rsidRDefault="00481CD5">
            <w:pPr>
              <w:spacing w:line="260" w:lineRule="auto"/>
              <w:jc w:val="center"/>
            </w:pPr>
            <w:r>
              <w:t>19.</w:t>
            </w:r>
          </w:p>
        </w:tc>
        <w:tc>
          <w:tcPr>
            <w:tcW w:w="6426" w:type="dxa"/>
            <w:vAlign w:val="center"/>
          </w:tcPr>
          <w:p w14:paraId="75B03B26" w14:textId="77777777" w:rsidR="00963A02" w:rsidRDefault="00481CD5">
            <w:pPr>
              <w:spacing w:line="260" w:lineRule="auto"/>
            </w:pPr>
            <w:r>
              <w:t>Możliwość podłączenia do systemu certyfikowanego (CE MDR) robotycznego narzędzia ultradźwiękowego.</w:t>
            </w:r>
          </w:p>
        </w:tc>
        <w:tc>
          <w:tcPr>
            <w:tcW w:w="2000" w:type="dxa"/>
            <w:vAlign w:val="center"/>
          </w:tcPr>
          <w:p w14:paraId="04DA0E5B" w14:textId="77777777" w:rsidR="00963A02" w:rsidRDefault="00963A02">
            <w:pPr>
              <w:spacing w:line="260" w:lineRule="auto"/>
            </w:pPr>
          </w:p>
        </w:tc>
      </w:tr>
      <w:tr w:rsidR="00963A02" w14:paraId="116EE828" w14:textId="77777777">
        <w:tc>
          <w:tcPr>
            <w:tcW w:w="600" w:type="dxa"/>
            <w:vAlign w:val="center"/>
          </w:tcPr>
          <w:p w14:paraId="1777F2AC" w14:textId="77777777" w:rsidR="00963A02" w:rsidRDefault="00481CD5">
            <w:pPr>
              <w:spacing w:line="260" w:lineRule="auto"/>
              <w:jc w:val="center"/>
            </w:pPr>
            <w:r>
              <w:t>20.</w:t>
            </w:r>
          </w:p>
        </w:tc>
        <w:tc>
          <w:tcPr>
            <w:tcW w:w="6426" w:type="dxa"/>
            <w:vAlign w:val="center"/>
          </w:tcPr>
          <w:p w14:paraId="6FA56E26" w14:textId="77777777" w:rsidR="00963A02" w:rsidRDefault="00481CD5">
            <w:pPr>
              <w:spacing w:line="260" w:lineRule="auto"/>
            </w:pPr>
            <w:r>
              <w:t>Wideoendoskopy zintegrowane z kamerami, o powiększeniu optycznym min. 10x, z wielopoziomowym zoomem cyfrowym, kompatybilne z technologią ICG; sterowanie funkcjami endoskopu (kierunek widzenia, zdjęcie, nagrywanie) z poziomu konsoli.</w:t>
            </w:r>
          </w:p>
        </w:tc>
        <w:tc>
          <w:tcPr>
            <w:tcW w:w="2000" w:type="dxa"/>
            <w:vAlign w:val="center"/>
          </w:tcPr>
          <w:p w14:paraId="387F9474" w14:textId="77777777" w:rsidR="00963A02" w:rsidRDefault="00963A02">
            <w:pPr>
              <w:spacing w:line="260" w:lineRule="auto"/>
            </w:pPr>
          </w:p>
        </w:tc>
      </w:tr>
      <w:tr w:rsidR="00963A02" w14:paraId="4E05C046" w14:textId="77777777">
        <w:tc>
          <w:tcPr>
            <w:tcW w:w="600" w:type="dxa"/>
            <w:vAlign w:val="center"/>
          </w:tcPr>
          <w:p w14:paraId="66CCFAFB" w14:textId="77777777" w:rsidR="00963A02" w:rsidRDefault="00481CD5">
            <w:pPr>
              <w:spacing w:line="260" w:lineRule="auto"/>
              <w:jc w:val="center"/>
            </w:pPr>
            <w:r>
              <w:t>21.</w:t>
            </w:r>
          </w:p>
        </w:tc>
        <w:tc>
          <w:tcPr>
            <w:tcW w:w="6426" w:type="dxa"/>
            <w:vAlign w:val="center"/>
          </w:tcPr>
          <w:p w14:paraId="60C54EB7" w14:textId="77777777" w:rsidR="00963A02" w:rsidRDefault="00481CD5">
            <w:pPr>
              <w:spacing w:line="260" w:lineRule="auto"/>
            </w:pPr>
            <w:r>
              <w:t>Możliwość awaryjnego otwarcia branszy / zwolnienia narzędzia robotycznego w czasie zabiegu bez konieczności wyjmowania narzędzia z ramienia robotycznego.</w:t>
            </w:r>
          </w:p>
        </w:tc>
        <w:tc>
          <w:tcPr>
            <w:tcW w:w="2000" w:type="dxa"/>
            <w:vAlign w:val="center"/>
          </w:tcPr>
          <w:p w14:paraId="0C69B307" w14:textId="77777777" w:rsidR="00963A02" w:rsidRDefault="00963A02">
            <w:pPr>
              <w:spacing w:line="260" w:lineRule="auto"/>
            </w:pPr>
          </w:p>
        </w:tc>
      </w:tr>
      <w:tr w:rsidR="00963A02" w14:paraId="2CB31592" w14:textId="77777777">
        <w:tc>
          <w:tcPr>
            <w:tcW w:w="600" w:type="dxa"/>
            <w:vAlign w:val="center"/>
          </w:tcPr>
          <w:p w14:paraId="4DAE2821" w14:textId="77777777" w:rsidR="00963A02" w:rsidRDefault="00481CD5">
            <w:pPr>
              <w:spacing w:line="260" w:lineRule="auto"/>
              <w:jc w:val="center"/>
            </w:pPr>
            <w:r>
              <w:t>22.</w:t>
            </w:r>
          </w:p>
        </w:tc>
        <w:tc>
          <w:tcPr>
            <w:tcW w:w="6426" w:type="dxa"/>
            <w:vAlign w:val="center"/>
          </w:tcPr>
          <w:p w14:paraId="2D4646A4" w14:textId="77777777" w:rsidR="00963A02" w:rsidRDefault="00481CD5">
            <w:pPr>
              <w:spacing w:line="260" w:lineRule="auto"/>
            </w:pPr>
            <w:r>
              <w:t>Po ponownym podłączeniu narzędzia lub endoskopu — możliwość kontynuacji pracy w obszarze operacyjnym bez konieczności ponownej pełnej konfiguracji systemu (redokowania ramienia).</w:t>
            </w:r>
          </w:p>
        </w:tc>
        <w:tc>
          <w:tcPr>
            <w:tcW w:w="2000" w:type="dxa"/>
            <w:vAlign w:val="center"/>
          </w:tcPr>
          <w:p w14:paraId="7C10D472" w14:textId="77777777" w:rsidR="00963A02" w:rsidRDefault="00963A02">
            <w:pPr>
              <w:spacing w:line="260" w:lineRule="auto"/>
            </w:pPr>
          </w:p>
        </w:tc>
      </w:tr>
    </w:tbl>
    <w:p w14:paraId="6D4F5B20" w14:textId="77777777" w:rsidR="00963A02" w:rsidRDefault="00481CD5">
      <w:pPr>
        <w:spacing w:before="240"/>
        <w:jc w:val="both"/>
      </w:pPr>
      <w:r>
        <w:rPr>
          <w:i/>
          <w:iCs/>
        </w:rPr>
        <w:t>Oświadczamy, że akceptujemy powyższe warunki realizacji zamówienia i potwierdzamy, że oferowany system spełnia wszystkie wymagania określone w Rozdziale II.</w:t>
      </w:r>
    </w:p>
    <w:p w14:paraId="1867D9B5" w14:textId="77777777" w:rsidR="00963A02" w:rsidRDefault="00481CD5">
      <w:pPr>
        <w:spacing w:before="300"/>
        <w:jc w:val="right"/>
      </w:pPr>
      <w:r>
        <w:t>............................................................</w:t>
      </w:r>
    </w:p>
    <w:p w14:paraId="6317AAA0" w14:textId="77777777" w:rsidR="00963A02" w:rsidRDefault="00481CD5">
      <w:pPr>
        <w:spacing w:after="100" w:line="276" w:lineRule="auto"/>
        <w:jc w:val="right"/>
      </w:pPr>
      <w:r>
        <w:rPr>
          <w:i/>
          <w:iCs/>
          <w:sz w:val="18"/>
          <w:szCs w:val="18"/>
        </w:rPr>
        <w:t>data, podpis osoby upoważnionej do reprezentowania Wykonawcy</w:t>
      </w:r>
    </w:p>
    <w:sectPr w:rsidR="00963A02" w:rsidSect="001C17BD">
      <w:headerReference w:type="first" r:id="rId7"/>
      <w:pgSz w:w="11906" w:h="16838"/>
      <w:pgMar w:top="1134" w:right="1418" w:bottom="102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699B2" w14:textId="77777777" w:rsidR="00C55B5A" w:rsidRDefault="00C55B5A" w:rsidP="001C17BD">
      <w:r>
        <w:separator/>
      </w:r>
    </w:p>
  </w:endnote>
  <w:endnote w:type="continuationSeparator" w:id="0">
    <w:p w14:paraId="58E55F2D" w14:textId="77777777" w:rsidR="00C55B5A" w:rsidRDefault="00C55B5A" w:rsidP="001C1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224EC" w14:textId="77777777" w:rsidR="00C55B5A" w:rsidRDefault="00C55B5A" w:rsidP="001C17BD">
      <w:r>
        <w:separator/>
      </w:r>
    </w:p>
  </w:footnote>
  <w:footnote w:type="continuationSeparator" w:id="0">
    <w:p w14:paraId="2A78D1AB" w14:textId="77777777" w:rsidR="00C55B5A" w:rsidRDefault="00C55B5A" w:rsidP="001C1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CE63C" w14:textId="2EEE576A" w:rsidR="001C17BD" w:rsidRDefault="001C17BD" w:rsidP="001C17BD">
    <w:pPr>
      <w:spacing w:after="100" w:line="276" w:lineRule="auto"/>
      <w:jc w:val="right"/>
    </w:pPr>
    <w:r w:rsidRPr="001C17BD"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80137"/>
    <w:multiLevelType w:val="hybridMultilevel"/>
    <w:tmpl w:val="AA5E502C"/>
    <w:lvl w:ilvl="0" w:tplc="398C17F4">
      <w:start w:val="1"/>
      <w:numFmt w:val="decimal"/>
      <w:lvlText w:val="%1."/>
      <w:lvlJc w:val="left"/>
      <w:pPr>
        <w:ind w:left="360" w:hanging="360"/>
      </w:pPr>
    </w:lvl>
    <w:lvl w:ilvl="1" w:tplc="5C20A998">
      <w:numFmt w:val="decimal"/>
      <w:lvlText w:val=""/>
      <w:lvlJc w:val="left"/>
    </w:lvl>
    <w:lvl w:ilvl="2" w:tplc="BAC6CFC6">
      <w:numFmt w:val="decimal"/>
      <w:lvlText w:val=""/>
      <w:lvlJc w:val="left"/>
    </w:lvl>
    <w:lvl w:ilvl="3" w:tplc="54B62226">
      <w:numFmt w:val="decimal"/>
      <w:lvlText w:val=""/>
      <w:lvlJc w:val="left"/>
    </w:lvl>
    <w:lvl w:ilvl="4" w:tplc="8F845082">
      <w:numFmt w:val="decimal"/>
      <w:lvlText w:val=""/>
      <w:lvlJc w:val="left"/>
    </w:lvl>
    <w:lvl w:ilvl="5" w:tplc="088679C6">
      <w:numFmt w:val="decimal"/>
      <w:lvlText w:val=""/>
      <w:lvlJc w:val="left"/>
    </w:lvl>
    <w:lvl w:ilvl="6" w:tplc="387ECA16">
      <w:numFmt w:val="decimal"/>
      <w:lvlText w:val=""/>
      <w:lvlJc w:val="left"/>
    </w:lvl>
    <w:lvl w:ilvl="7" w:tplc="20D87232">
      <w:numFmt w:val="decimal"/>
      <w:lvlText w:val=""/>
      <w:lvlJc w:val="left"/>
    </w:lvl>
    <w:lvl w:ilvl="8" w:tplc="4F2013AC">
      <w:numFmt w:val="decimal"/>
      <w:lvlText w:val=""/>
      <w:lvlJc w:val="left"/>
    </w:lvl>
  </w:abstractNum>
  <w:abstractNum w:abstractNumId="1" w15:restartNumberingAfterBreak="0">
    <w:nsid w:val="0E557316"/>
    <w:multiLevelType w:val="hybridMultilevel"/>
    <w:tmpl w:val="B644F96E"/>
    <w:lvl w:ilvl="0" w:tplc="A98017E4">
      <w:start w:val="1"/>
      <w:numFmt w:val="decimal"/>
      <w:lvlText w:val="%1."/>
      <w:lvlJc w:val="left"/>
      <w:pPr>
        <w:ind w:left="360" w:hanging="360"/>
      </w:pPr>
    </w:lvl>
    <w:lvl w:ilvl="1" w:tplc="CFC8E57C">
      <w:numFmt w:val="decimal"/>
      <w:lvlText w:val=""/>
      <w:lvlJc w:val="left"/>
    </w:lvl>
    <w:lvl w:ilvl="2" w:tplc="5D9CA5D6">
      <w:numFmt w:val="decimal"/>
      <w:lvlText w:val=""/>
      <w:lvlJc w:val="left"/>
    </w:lvl>
    <w:lvl w:ilvl="3" w:tplc="A1F47EFE">
      <w:numFmt w:val="decimal"/>
      <w:lvlText w:val=""/>
      <w:lvlJc w:val="left"/>
    </w:lvl>
    <w:lvl w:ilvl="4" w:tplc="3B7A1BD2">
      <w:numFmt w:val="decimal"/>
      <w:lvlText w:val=""/>
      <w:lvlJc w:val="left"/>
    </w:lvl>
    <w:lvl w:ilvl="5" w:tplc="8A4C2610">
      <w:numFmt w:val="decimal"/>
      <w:lvlText w:val=""/>
      <w:lvlJc w:val="left"/>
    </w:lvl>
    <w:lvl w:ilvl="6" w:tplc="7D2EB9E8">
      <w:numFmt w:val="decimal"/>
      <w:lvlText w:val=""/>
      <w:lvlJc w:val="left"/>
    </w:lvl>
    <w:lvl w:ilvl="7" w:tplc="8CB4560E">
      <w:numFmt w:val="decimal"/>
      <w:lvlText w:val=""/>
      <w:lvlJc w:val="left"/>
    </w:lvl>
    <w:lvl w:ilvl="8" w:tplc="CA48C8FC">
      <w:numFmt w:val="decimal"/>
      <w:lvlText w:val=""/>
      <w:lvlJc w:val="left"/>
    </w:lvl>
  </w:abstractNum>
  <w:abstractNum w:abstractNumId="2" w15:restartNumberingAfterBreak="0">
    <w:nsid w:val="367B5CA4"/>
    <w:multiLevelType w:val="hybridMultilevel"/>
    <w:tmpl w:val="744645FA"/>
    <w:lvl w:ilvl="0" w:tplc="E448328C">
      <w:start w:val="1"/>
      <w:numFmt w:val="decimal"/>
      <w:lvlText w:val="%1."/>
      <w:lvlJc w:val="left"/>
      <w:pPr>
        <w:ind w:left="360" w:hanging="360"/>
      </w:pPr>
    </w:lvl>
    <w:lvl w:ilvl="1" w:tplc="9C887B26">
      <w:numFmt w:val="decimal"/>
      <w:lvlText w:val=""/>
      <w:lvlJc w:val="left"/>
    </w:lvl>
    <w:lvl w:ilvl="2" w:tplc="D6C4A0FC">
      <w:numFmt w:val="decimal"/>
      <w:lvlText w:val=""/>
      <w:lvlJc w:val="left"/>
    </w:lvl>
    <w:lvl w:ilvl="3" w:tplc="6C78D1AC">
      <w:numFmt w:val="decimal"/>
      <w:lvlText w:val=""/>
      <w:lvlJc w:val="left"/>
    </w:lvl>
    <w:lvl w:ilvl="4" w:tplc="5030A6EC">
      <w:numFmt w:val="decimal"/>
      <w:lvlText w:val=""/>
      <w:lvlJc w:val="left"/>
    </w:lvl>
    <w:lvl w:ilvl="5" w:tplc="326CA38A">
      <w:numFmt w:val="decimal"/>
      <w:lvlText w:val=""/>
      <w:lvlJc w:val="left"/>
    </w:lvl>
    <w:lvl w:ilvl="6" w:tplc="7C66F4E0">
      <w:numFmt w:val="decimal"/>
      <w:lvlText w:val=""/>
      <w:lvlJc w:val="left"/>
    </w:lvl>
    <w:lvl w:ilvl="7" w:tplc="E0EAEE40">
      <w:numFmt w:val="decimal"/>
      <w:lvlText w:val=""/>
      <w:lvlJc w:val="left"/>
    </w:lvl>
    <w:lvl w:ilvl="8" w:tplc="97D20044">
      <w:numFmt w:val="decimal"/>
      <w:lvlText w:val=""/>
      <w:lvlJc w:val="left"/>
    </w:lvl>
  </w:abstractNum>
  <w:abstractNum w:abstractNumId="3" w15:restartNumberingAfterBreak="0">
    <w:nsid w:val="377D7E53"/>
    <w:multiLevelType w:val="hybridMultilevel"/>
    <w:tmpl w:val="CED0A0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90A49"/>
    <w:multiLevelType w:val="hybridMultilevel"/>
    <w:tmpl w:val="8F4243FA"/>
    <w:lvl w:ilvl="0" w:tplc="21B20FA2">
      <w:start w:val="1"/>
      <w:numFmt w:val="lowerLetter"/>
      <w:lvlText w:val="%1)"/>
      <w:lvlJc w:val="left"/>
      <w:pPr>
        <w:ind w:left="720" w:hanging="360"/>
      </w:pPr>
    </w:lvl>
    <w:lvl w:ilvl="1" w:tplc="2146C9D8">
      <w:numFmt w:val="decimal"/>
      <w:lvlText w:val=""/>
      <w:lvlJc w:val="left"/>
    </w:lvl>
    <w:lvl w:ilvl="2" w:tplc="09928B96">
      <w:numFmt w:val="decimal"/>
      <w:lvlText w:val=""/>
      <w:lvlJc w:val="left"/>
    </w:lvl>
    <w:lvl w:ilvl="3" w:tplc="80444CB8">
      <w:numFmt w:val="decimal"/>
      <w:lvlText w:val=""/>
      <w:lvlJc w:val="left"/>
    </w:lvl>
    <w:lvl w:ilvl="4" w:tplc="A3AA2788">
      <w:numFmt w:val="decimal"/>
      <w:lvlText w:val=""/>
      <w:lvlJc w:val="left"/>
    </w:lvl>
    <w:lvl w:ilvl="5" w:tplc="FB78D700">
      <w:numFmt w:val="decimal"/>
      <w:lvlText w:val=""/>
      <w:lvlJc w:val="left"/>
    </w:lvl>
    <w:lvl w:ilvl="6" w:tplc="B84008C0">
      <w:numFmt w:val="decimal"/>
      <w:lvlText w:val=""/>
      <w:lvlJc w:val="left"/>
    </w:lvl>
    <w:lvl w:ilvl="7" w:tplc="FBB4AA46">
      <w:numFmt w:val="decimal"/>
      <w:lvlText w:val=""/>
      <w:lvlJc w:val="left"/>
    </w:lvl>
    <w:lvl w:ilvl="8" w:tplc="B462C032">
      <w:numFmt w:val="decimal"/>
      <w:lvlText w:val=""/>
      <w:lvlJc w:val="left"/>
    </w:lvl>
  </w:abstractNum>
  <w:abstractNum w:abstractNumId="5" w15:restartNumberingAfterBreak="0">
    <w:nsid w:val="7EFD7C82"/>
    <w:multiLevelType w:val="hybridMultilevel"/>
    <w:tmpl w:val="C0481136"/>
    <w:lvl w:ilvl="0" w:tplc="9D9011FA">
      <w:start w:val="1"/>
      <w:numFmt w:val="bullet"/>
      <w:lvlText w:val="●"/>
      <w:lvlJc w:val="left"/>
      <w:pPr>
        <w:ind w:left="720" w:hanging="360"/>
      </w:pPr>
    </w:lvl>
    <w:lvl w:ilvl="1" w:tplc="0B2012CA">
      <w:start w:val="1"/>
      <w:numFmt w:val="bullet"/>
      <w:lvlText w:val="○"/>
      <w:lvlJc w:val="left"/>
      <w:pPr>
        <w:ind w:left="1440" w:hanging="360"/>
      </w:pPr>
    </w:lvl>
    <w:lvl w:ilvl="2" w:tplc="53320A54">
      <w:start w:val="1"/>
      <w:numFmt w:val="bullet"/>
      <w:lvlText w:val="■"/>
      <w:lvlJc w:val="left"/>
      <w:pPr>
        <w:ind w:left="2160" w:hanging="360"/>
      </w:pPr>
    </w:lvl>
    <w:lvl w:ilvl="3" w:tplc="B7C6D592">
      <w:start w:val="1"/>
      <w:numFmt w:val="bullet"/>
      <w:lvlText w:val="●"/>
      <w:lvlJc w:val="left"/>
      <w:pPr>
        <w:ind w:left="2880" w:hanging="360"/>
      </w:pPr>
    </w:lvl>
    <w:lvl w:ilvl="4" w:tplc="DC543D20">
      <w:start w:val="1"/>
      <w:numFmt w:val="bullet"/>
      <w:lvlText w:val="○"/>
      <w:lvlJc w:val="left"/>
      <w:pPr>
        <w:ind w:left="3600" w:hanging="360"/>
      </w:pPr>
    </w:lvl>
    <w:lvl w:ilvl="5" w:tplc="6B66AED6">
      <w:start w:val="1"/>
      <w:numFmt w:val="bullet"/>
      <w:lvlText w:val="■"/>
      <w:lvlJc w:val="left"/>
      <w:pPr>
        <w:ind w:left="4320" w:hanging="360"/>
      </w:pPr>
    </w:lvl>
    <w:lvl w:ilvl="6" w:tplc="CB38B12C">
      <w:start w:val="1"/>
      <w:numFmt w:val="bullet"/>
      <w:lvlText w:val="●"/>
      <w:lvlJc w:val="left"/>
      <w:pPr>
        <w:ind w:left="5040" w:hanging="360"/>
      </w:pPr>
    </w:lvl>
    <w:lvl w:ilvl="7" w:tplc="71E84750">
      <w:start w:val="1"/>
      <w:numFmt w:val="bullet"/>
      <w:lvlText w:val="●"/>
      <w:lvlJc w:val="left"/>
      <w:pPr>
        <w:ind w:left="5760" w:hanging="360"/>
      </w:pPr>
    </w:lvl>
    <w:lvl w:ilvl="8" w:tplc="3300F510">
      <w:start w:val="1"/>
      <w:numFmt w:val="bullet"/>
      <w:lvlText w:val="●"/>
      <w:lvlJc w:val="left"/>
      <w:pPr>
        <w:ind w:left="6480" w:hanging="360"/>
      </w:pPr>
    </w:lvl>
  </w:abstractNum>
  <w:num w:numId="1" w16cid:durableId="433863123">
    <w:abstractNumId w:val="5"/>
    <w:lvlOverride w:ilvl="0">
      <w:startOverride w:val="1"/>
    </w:lvlOverride>
  </w:num>
  <w:num w:numId="2" w16cid:durableId="1544630989">
    <w:abstractNumId w:val="0"/>
    <w:lvlOverride w:ilvl="0">
      <w:startOverride w:val="1"/>
    </w:lvlOverride>
  </w:num>
  <w:num w:numId="3" w16cid:durableId="491526881">
    <w:abstractNumId w:val="4"/>
    <w:lvlOverride w:ilvl="0">
      <w:startOverride w:val="1"/>
    </w:lvlOverride>
  </w:num>
  <w:num w:numId="4" w16cid:durableId="1065909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A02"/>
    <w:rsid w:val="001C17BD"/>
    <w:rsid w:val="0026370E"/>
    <w:rsid w:val="00380C60"/>
    <w:rsid w:val="003B2074"/>
    <w:rsid w:val="00481CD5"/>
    <w:rsid w:val="005135DA"/>
    <w:rsid w:val="00597AF6"/>
    <w:rsid w:val="007A4E2E"/>
    <w:rsid w:val="00872CCC"/>
    <w:rsid w:val="00963A02"/>
    <w:rsid w:val="00C36E3C"/>
    <w:rsid w:val="00C55B5A"/>
    <w:rsid w:val="00DC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16AF3"/>
  <w15:docId w15:val="{55C76F96-02E2-A144-B807-BCF61FF9D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C17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17BD"/>
  </w:style>
  <w:style w:type="paragraph" w:styleId="Stopka">
    <w:name w:val="footer"/>
    <w:basedOn w:val="Normalny"/>
    <w:link w:val="StopkaZnak"/>
    <w:uiPriority w:val="99"/>
    <w:unhideWhenUsed/>
    <w:rsid w:val="001C17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1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1752</Words>
  <Characters>10515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Marzena Herod</cp:lastModifiedBy>
  <cp:revision>7</cp:revision>
  <cp:lastPrinted>2026-09-01T11:19:00Z</cp:lastPrinted>
  <dcterms:created xsi:type="dcterms:W3CDTF">2026-08-26T12:26:00Z</dcterms:created>
  <dcterms:modified xsi:type="dcterms:W3CDTF">2026-09-02T07:20:00Z</dcterms:modified>
</cp:coreProperties>
</file>